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981BD8" w14:textId="06E11F2A" w:rsidR="00A659F3" w:rsidRPr="00A659F3" w:rsidRDefault="00A659F3" w:rsidP="00A659F3">
      <w:pPr>
        <w:shd w:val="clear" w:color="auto" w:fill="000000"/>
        <w:jc w:val="center"/>
        <w:rPr>
          <w:rFonts w:ascii="Arial" w:hAnsi="Arial" w:cs="Arial"/>
          <w:color w:val="FFFFFF"/>
          <w:sz w:val="24"/>
          <w:szCs w:val="24"/>
        </w:rPr>
      </w:pPr>
      <w:proofErr w:type="spellStart"/>
      <w:r w:rsidRPr="00A659F3">
        <w:rPr>
          <w:rFonts w:ascii="Arial" w:hAnsi="Arial" w:cs="Arial"/>
          <w:color w:val="FFFFFF"/>
          <w:sz w:val="24"/>
          <w:szCs w:val="24"/>
        </w:rPr>
        <w:t>Charltons</w:t>
      </w:r>
      <w:proofErr w:type="spellEnd"/>
      <w:r w:rsidRPr="00A659F3">
        <w:rPr>
          <w:rFonts w:ascii="Arial" w:hAnsi="Arial" w:cs="Arial"/>
          <w:color w:val="FFFFFF"/>
          <w:sz w:val="24"/>
          <w:szCs w:val="24"/>
        </w:rPr>
        <w:t xml:space="preserve"> Quantum – Quantum Updates </w:t>
      </w:r>
      <w:r w:rsidRPr="00A659F3">
        <w:rPr>
          <w:rFonts w:ascii="Arial" w:hAnsi="Arial" w:cs="Arial"/>
          <w:color w:val="FFFFFF"/>
          <w:sz w:val="24"/>
          <w:szCs w:val="24"/>
        </w:rPr>
        <w:t xml:space="preserve">70 </w:t>
      </w:r>
      <w:r w:rsidRPr="00A659F3">
        <w:rPr>
          <w:rFonts w:ascii="Arial" w:hAnsi="Arial" w:cs="Arial"/>
          <w:color w:val="FFFFFF"/>
          <w:sz w:val="24"/>
          <w:szCs w:val="24"/>
        </w:rPr>
        <w:t xml:space="preserve">– </w:t>
      </w:r>
      <w:r w:rsidRPr="00A659F3">
        <w:rPr>
          <w:rFonts w:ascii="Arial" w:hAnsi="Arial" w:cs="Arial"/>
          <w:color w:val="FFFFFF"/>
          <w:sz w:val="24"/>
          <w:szCs w:val="24"/>
          <w:lang w:val="en-US"/>
        </w:rPr>
        <w:t>August</w:t>
      </w:r>
      <w:r w:rsidRPr="00A659F3">
        <w:rPr>
          <w:rFonts w:ascii="Arial" w:hAnsi="Arial" w:cs="Arial"/>
          <w:color w:val="FFFFFF"/>
          <w:sz w:val="24"/>
          <w:szCs w:val="24"/>
        </w:rPr>
        <w:t xml:space="preserve"> 2026</w:t>
      </w:r>
    </w:p>
    <w:p w14:paraId="4B891449" w14:textId="5FC8F01E" w:rsidR="003F62F0" w:rsidRPr="003F62F0" w:rsidRDefault="00A659F3" w:rsidP="003F62F0">
      <w:pPr>
        <w:spacing w:after="200"/>
        <w:jc w:val="center"/>
        <w:rPr>
          <w:rFonts w:ascii="Arial" w:hAnsi="Arial" w:cs="Arial"/>
          <w:sz w:val="28"/>
          <w:szCs w:val="28"/>
        </w:rPr>
      </w:pPr>
      <w:r w:rsidRPr="00A659F3">
        <w:rPr>
          <w:rFonts w:ascii="Arial" w:hAnsi="Arial" w:cs="Arial"/>
          <w:color w:val="FFFFFF"/>
          <w:sz w:val="24"/>
          <w:szCs w:val="24"/>
        </w:rPr>
        <w:br/>
      </w:r>
      <w:hyperlink r:id="rId5">
        <w:r w:rsidRPr="003F62F0">
          <w:rPr>
            <w:rFonts w:ascii="Arial" w:hAnsi="Arial" w:cs="Arial"/>
            <w:color w:val="1155CC"/>
            <w:sz w:val="28"/>
            <w:szCs w:val="28"/>
            <w:u w:val="single"/>
          </w:rPr>
          <w:t>Online version</w:t>
        </w:r>
      </w:hyperlink>
    </w:p>
    <w:p w14:paraId="629B4C57" w14:textId="77777777" w:rsidR="002B0F71" w:rsidRPr="00A659F3" w:rsidRDefault="00000000" w:rsidP="0076560B">
      <w:pPr>
        <w:pStyle w:val="2"/>
        <w:spacing w:before="40" w:after="120"/>
        <w:jc w:val="both"/>
        <w:rPr>
          <w:rFonts w:ascii="Arial" w:hAnsi="Arial" w:cs="Arial"/>
          <w:sz w:val="24"/>
          <w:szCs w:val="24"/>
        </w:rPr>
      </w:pPr>
      <w:r w:rsidRPr="00A659F3">
        <w:rPr>
          <w:rFonts w:ascii="Arial" w:hAnsi="Arial" w:cs="Arial"/>
          <w:b/>
          <w:bCs/>
          <w:color w:val="000000"/>
          <w:sz w:val="24"/>
          <w:szCs w:val="24"/>
        </w:rPr>
        <w:t>Hong Kong: HKEX Guidance Letter GL122-26 Shuts the Digital Asset Treasury Company Route to Listing and Sets the Compliance Architecture for Every Listed Issuer's Digital Asset Activity</w:t>
      </w:r>
    </w:p>
    <w:p w14:paraId="7ACC929F" w14:textId="77777777" w:rsidR="002B0F71" w:rsidRPr="00A659F3" w:rsidRDefault="00000000" w:rsidP="0076560B">
      <w:pPr>
        <w:spacing w:after="160"/>
        <w:jc w:val="both"/>
        <w:rPr>
          <w:rFonts w:ascii="Arial" w:hAnsi="Arial" w:cs="Arial"/>
          <w:sz w:val="24"/>
          <w:szCs w:val="24"/>
        </w:rPr>
      </w:pPr>
      <w:r w:rsidRPr="00A659F3">
        <w:rPr>
          <w:rFonts w:ascii="Arial" w:hAnsi="Arial" w:cs="Arial"/>
          <w:color w:val="000000"/>
          <w:sz w:val="24"/>
          <w:szCs w:val="24"/>
        </w:rPr>
        <w:t xml:space="preserve">On 24 July 2026, the Stock Exchange of Hong Kong Limited published </w:t>
      </w:r>
      <w:hyperlink r:id="rId6" w:history="1">
        <w:r w:rsidR="002B0F71" w:rsidRPr="003F62F0">
          <w:rPr>
            <w:rStyle w:val="a5"/>
            <w:rFonts w:ascii="Arial" w:hAnsi="Arial" w:cs="Arial"/>
            <w:color w:val="E97132"/>
            <w:sz w:val="24"/>
            <w:szCs w:val="24"/>
          </w:rPr>
          <w:t>Guidance Letter HKEX-GL122-26</w:t>
        </w:r>
      </w:hyperlink>
      <w:r w:rsidRPr="00A659F3">
        <w:rPr>
          <w:rFonts w:ascii="Arial" w:hAnsi="Arial" w:cs="Arial"/>
          <w:color w:val="000000"/>
          <w:sz w:val="24"/>
          <w:szCs w:val="24"/>
        </w:rPr>
        <w:t xml:space="preserve"> on digital asset-related activities, formalising the Exchange's position on digital asset treasury companies (DATs) both at the listing gate and through the continuing-obligation machinery for issuers already listed.</w:t>
      </w:r>
    </w:p>
    <w:p w14:paraId="1521E8FB"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rule is unqualified at the listing gate: an applicant whose business is "primarily" buying and holding digital assets "will unlikely be considered as having a business suitable for listing" — and the Exchange names the only vehicle it will accept instead: SFC-authorised digital asset ETFs under Chapter 20, channelling public exposure through the fund wrapper rather than the corporate one.</w:t>
      </w:r>
    </w:p>
    <w:p w14:paraId="50F3AB64"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Three rules now trap the converting issuer working from inside an existing listing: sufficiency-of-operations treats DAT-model holdings as subtracting from, not adding to, business substance; the cash company rule can force suspension of trading where digital assets plus other liquid holdings dominate the balance sheet, curable only via a fresh listing application; and the reverse-takeover rule catches any acquisition that would make digital asset holdings the issuer's real business, including the signature manoeuvre of issuing new shares for cash specifically to fund the pivot.</w:t>
      </w:r>
    </w:p>
    <w:p w14:paraId="2F02FCBC"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regulated-stablecoin carve-out is the sharpest piece of drafting in the letter: a stablecoin licensed under Hong Kong's own Stablecoins Ordinance (Cap. 656) is treated as a cash equivalent and falls outside Chapter 14 notifiable-transaction rules entirely, while an unlicensed stablecoin triggers full size-test disclosure and potential shareholder approval — a built-in cost differential steering every listed treasurer toward the licensed instrument.</w:t>
      </w:r>
    </w:p>
    <w:p w14:paraId="20A6973C"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Disclosure standards are deliberately anti-hype: boilerplate "exploring blockchain" announcements are out, and treasury or tokenisation disclosures now require a stated strategy, board rationale, funding source and named management expertise, plus — for tokenised real-world assets — a five-item schedule covering issuer identity, custody, redemption rights, trading venue and principal terms, with a 5%-of-total-assets holding in any single digital asset triggering the significant-investment disclosure regime.</w:t>
      </w:r>
    </w:p>
    <w:p w14:paraId="32049198"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Custody itself becomes a listing-continuity standard: Section E requires board-level escalation triggers, segregation of private-key duties, counterparty due diligence covering licensing status, and safeguards against single points of failure — effectively importing licensed-exchange custody practice into the continuing obligations of any listed issuer holding a token, regardless of its core business.</w:t>
      </w:r>
    </w:p>
    <w:p w14:paraId="06C9F0CC" w14:textId="5B1159E3" w:rsidR="00A659F3" w:rsidRPr="00A659F3" w:rsidRDefault="00A659F3" w:rsidP="00A659F3">
      <w:pPr>
        <w:spacing w:after="240"/>
        <w:rPr>
          <w:rFonts w:ascii="Arial" w:hAnsi="Arial" w:cs="Arial"/>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7"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7B9E0F30" w14:textId="77777777" w:rsidR="00A659F3" w:rsidRPr="00A659F3" w:rsidRDefault="00A659F3" w:rsidP="00A659F3">
      <w:pPr>
        <w:spacing w:after="100"/>
        <w:jc w:val="both"/>
        <w:rPr>
          <w:rFonts w:ascii="Arial" w:hAnsi="Arial" w:cs="Arial"/>
          <w:sz w:val="24"/>
          <w:szCs w:val="24"/>
        </w:rPr>
      </w:pPr>
    </w:p>
    <w:p w14:paraId="408207D9" w14:textId="77777777" w:rsidR="0076560B" w:rsidRPr="00A659F3" w:rsidRDefault="0076560B" w:rsidP="0076560B">
      <w:pPr>
        <w:pStyle w:val="2"/>
        <w:spacing w:before="40" w:after="120"/>
        <w:jc w:val="both"/>
        <w:rPr>
          <w:rFonts w:ascii="Arial" w:hAnsi="Arial" w:cs="Arial"/>
          <w:b/>
          <w:bCs/>
          <w:color w:val="000000"/>
          <w:sz w:val="24"/>
          <w:szCs w:val="24"/>
        </w:rPr>
      </w:pPr>
    </w:p>
    <w:p w14:paraId="12B7BC13" w14:textId="3260A40B" w:rsidR="002B0F71" w:rsidRPr="00A659F3" w:rsidRDefault="00000000" w:rsidP="0076560B">
      <w:pPr>
        <w:pStyle w:val="2"/>
        <w:spacing w:before="40" w:after="120"/>
        <w:jc w:val="both"/>
        <w:rPr>
          <w:rFonts w:ascii="Arial" w:hAnsi="Arial" w:cs="Arial"/>
          <w:sz w:val="24"/>
          <w:szCs w:val="24"/>
        </w:rPr>
      </w:pPr>
      <w:r w:rsidRPr="00A659F3">
        <w:rPr>
          <w:rFonts w:ascii="Arial" w:hAnsi="Arial" w:cs="Arial"/>
          <w:b/>
          <w:bCs/>
          <w:color w:val="000000"/>
          <w:sz w:val="24"/>
          <w:szCs w:val="24"/>
        </w:rPr>
        <w:t>United Kingdom: FCA Enlists Anthropic for Its Supercharged Sandbox as 21 Firms Test Agent-Led Payments, Fraud Detection and AI Governance Under Existing Rules</w:t>
      </w:r>
    </w:p>
    <w:p w14:paraId="2DB6E75D" w14:textId="77777777" w:rsidR="002B0F71" w:rsidRPr="00A659F3" w:rsidRDefault="00000000" w:rsidP="0076560B">
      <w:pPr>
        <w:spacing w:after="160"/>
        <w:jc w:val="both"/>
        <w:rPr>
          <w:rFonts w:ascii="Arial" w:hAnsi="Arial" w:cs="Arial"/>
          <w:sz w:val="24"/>
          <w:szCs w:val="24"/>
        </w:rPr>
      </w:pPr>
      <w:r w:rsidRPr="00A659F3">
        <w:rPr>
          <w:rFonts w:ascii="Arial" w:hAnsi="Arial" w:cs="Arial"/>
          <w:color w:val="000000"/>
          <w:sz w:val="24"/>
          <w:szCs w:val="24"/>
        </w:rPr>
        <w:t xml:space="preserve">On 22 July 2026, the Financial Conduct Authority (FCA) announced that Anthropic will support the second cohort of its </w:t>
      </w:r>
      <w:hyperlink r:id="rId8" w:history="1">
        <w:r w:rsidR="002B0F71" w:rsidRPr="003F62F0">
          <w:rPr>
            <w:rStyle w:val="a5"/>
            <w:rFonts w:ascii="Arial" w:hAnsi="Arial" w:cs="Arial"/>
            <w:color w:val="E97132"/>
            <w:sz w:val="24"/>
            <w:szCs w:val="24"/>
          </w:rPr>
          <w:t>Supercharged Sandbox</w:t>
        </w:r>
      </w:hyperlink>
      <w:r w:rsidRPr="00A659F3">
        <w:rPr>
          <w:rFonts w:ascii="Arial" w:hAnsi="Arial" w:cs="Arial"/>
          <w:color w:val="000000"/>
          <w:sz w:val="24"/>
          <w:szCs w:val="24"/>
        </w:rPr>
        <w:t>, giving 21 selected organisations — chosen from 199 applications — access to Claude, Claude Code and Claude Cowork through a programme running to 31 December 2026.</w:t>
      </w:r>
    </w:p>
    <w:p w14:paraId="5CD6B90B"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legal position is deliberately narrow and the FCA states it in terms: "Participation in the Supercharged Sandbox does not indicate FCA approval, endorsement, or authorisation" — no rule is modified, no permission granted, and any solution requiring authorisation to go live still requires it the day the six-month cohort ends.</w:t>
      </w:r>
    </w:p>
    <w:p w14:paraId="3485C82B"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 xml:space="preserve">The doctrine driving everything here is "no new AI rules": the FCA has committed, including in its own </w:t>
      </w:r>
      <w:hyperlink r:id="rId9" w:history="1">
        <w:r w:rsidR="002B0F71" w:rsidRPr="003F62F0">
          <w:rPr>
            <w:rStyle w:val="a5"/>
            <w:rFonts w:ascii="Arial" w:hAnsi="Arial" w:cs="Arial"/>
            <w:color w:val="E97132"/>
            <w:sz w:val="24"/>
            <w:szCs w:val="24"/>
          </w:rPr>
          <w:t>letter to the Prime Minister</w:t>
        </w:r>
      </w:hyperlink>
      <w:r w:rsidRPr="00A659F3">
        <w:rPr>
          <w:rFonts w:ascii="Arial" w:hAnsi="Arial" w:cs="Arial"/>
          <w:color w:val="000000"/>
          <w:sz w:val="24"/>
          <w:szCs w:val="24"/>
        </w:rPr>
        <w:t>, to rely on existing frameworks rather than legislate for AI specifically — routing every AI failure through frameworks with a decade of enforcement history already behind them, principally the Consumer Duty (which attaches to outcomes, not mechanism) and the Senior Managers and Certification Regime (a named individual accountable for AI operating in their area, with no AI-specific defence or discount).</w:t>
      </w:r>
    </w:p>
    <w:p w14:paraId="0B5CE60D"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Agent-led payments is the stream to watch, not a footnote: a UK regulator is now hosting live experimentation with autonomous systems inside the payment-initiation chain on its own infrastructure, forcing the exact question digital asset firms are already wrestling with — when an agent moves money, whose mandate authorised it, and which accountable human answers for the boundary; Singapore's MAS published its own framework for the identical problem on 3 July 2026, making agentic finance a supervisory programme on two continents in the same month.</w:t>
      </w:r>
    </w:p>
    <w:p w14:paraId="05F23EB1"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 xml:space="preserve">The vendor stack is itself a regulatory signal: </w:t>
      </w:r>
      <w:proofErr w:type="spellStart"/>
      <w:r w:rsidRPr="00A659F3">
        <w:rPr>
          <w:rFonts w:ascii="Arial" w:hAnsi="Arial" w:cs="Arial"/>
          <w:color w:val="000000"/>
          <w:sz w:val="24"/>
          <w:szCs w:val="24"/>
        </w:rPr>
        <w:t>NayaOne</w:t>
      </w:r>
      <w:proofErr w:type="spellEnd"/>
      <w:r w:rsidRPr="00A659F3">
        <w:rPr>
          <w:rFonts w:ascii="Arial" w:hAnsi="Arial" w:cs="Arial"/>
          <w:color w:val="000000"/>
          <w:sz w:val="24"/>
          <w:szCs w:val="24"/>
        </w:rPr>
        <w:t xml:space="preserve"> supplies the platform, NVIDIA the compute, and Anthropic the frontier models — a regulator selecting and integrating commercial AI capability into its own supervisory apparatus, rather than evaluating it only from the outside, while still expecting participants to run their own outsourcing and operational-resilience analysis on any provider.</w:t>
      </w:r>
    </w:p>
    <w:p w14:paraId="395BC818"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programme is also, in the FCA's own words, a source of "insights that inform future regulatory thinking" — every use case, failure mode and governance pattern tested inside the sandbox becomes supervisory knowledge; firms outside the cohort should note the cadence (two cohorts in thirteen months, a third clearly coming) and prepare accordingly.</w:t>
      </w:r>
    </w:p>
    <w:p w14:paraId="524CAB4A" w14:textId="45556567" w:rsidR="00A659F3" w:rsidRPr="00A659F3" w:rsidRDefault="00A659F3" w:rsidP="00A659F3">
      <w:pPr>
        <w:spacing w:after="240"/>
        <w:rPr>
          <w:rFonts w:ascii="Arial" w:hAnsi="Arial" w:cs="Arial"/>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10"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5A879379" w14:textId="77777777" w:rsidR="0076560B" w:rsidRPr="00A659F3" w:rsidRDefault="0076560B" w:rsidP="0076560B">
      <w:pPr>
        <w:pStyle w:val="2"/>
        <w:spacing w:before="40" w:after="120"/>
        <w:jc w:val="both"/>
        <w:rPr>
          <w:rFonts w:ascii="Arial" w:hAnsi="Arial" w:cs="Arial"/>
          <w:b/>
          <w:bCs/>
          <w:color w:val="000000"/>
          <w:sz w:val="24"/>
          <w:szCs w:val="24"/>
        </w:rPr>
      </w:pPr>
    </w:p>
    <w:p w14:paraId="18BA7024" w14:textId="77777777" w:rsidR="002B0F71" w:rsidRPr="00A659F3" w:rsidRDefault="00000000" w:rsidP="0076560B">
      <w:pPr>
        <w:pStyle w:val="2"/>
        <w:spacing w:before="40" w:after="120"/>
        <w:jc w:val="both"/>
        <w:rPr>
          <w:rFonts w:ascii="Arial" w:hAnsi="Arial" w:cs="Arial"/>
          <w:sz w:val="24"/>
          <w:szCs w:val="24"/>
        </w:rPr>
      </w:pPr>
      <w:r w:rsidRPr="00A659F3">
        <w:rPr>
          <w:rFonts w:ascii="Arial" w:hAnsi="Arial" w:cs="Arial"/>
          <w:b/>
          <w:bCs/>
          <w:color w:val="000000"/>
          <w:sz w:val="24"/>
          <w:szCs w:val="24"/>
        </w:rPr>
        <w:t>United States: SEC Proposes Regulation E-Delivery, Making Electronic Delivery the Default for Prospectuses, Proxy Statements, Trade Confirmations and Adviser Disclosures</w:t>
      </w:r>
    </w:p>
    <w:p w14:paraId="436CE254" w14:textId="77777777" w:rsidR="002B0F71" w:rsidRPr="00A659F3" w:rsidRDefault="00000000" w:rsidP="0076560B">
      <w:pPr>
        <w:spacing w:after="160"/>
        <w:jc w:val="both"/>
        <w:rPr>
          <w:rFonts w:ascii="Arial" w:hAnsi="Arial" w:cs="Arial"/>
          <w:sz w:val="24"/>
          <w:szCs w:val="24"/>
        </w:rPr>
      </w:pPr>
      <w:r w:rsidRPr="00A659F3">
        <w:rPr>
          <w:rFonts w:ascii="Arial" w:hAnsi="Arial" w:cs="Arial"/>
          <w:color w:val="000000"/>
          <w:sz w:val="24"/>
          <w:szCs w:val="24"/>
        </w:rPr>
        <w:lastRenderedPageBreak/>
        <w:t xml:space="preserve">On 16 July 2026, the Securities and Exchange Commission (SEC) proposed </w:t>
      </w:r>
      <w:hyperlink r:id="rId11" w:history="1">
        <w:r w:rsidR="002B0F71" w:rsidRPr="003F62F0">
          <w:rPr>
            <w:rStyle w:val="a5"/>
            <w:rFonts w:ascii="Arial" w:hAnsi="Arial" w:cs="Arial"/>
            <w:color w:val="E97132"/>
            <w:sz w:val="24"/>
            <w:szCs w:val="24"/>
          </w:rPr>
          <w:t>Rule on Regulation E-Delivery</w:t>
        </w:r>
      </w:hyperlink>
      <w:r w:rsidRPr="00A659F3">
        <w:rPr>
          <w:rFonts w:ascii="Arial" w:hAnsi="Arial" w:cs="Arial"/>
          <w:color w:val="000000"/>
          <w:sz w:val="24"/>
          <w:szCs w:val="24"/>
        </w:rPr>
        <w:t>, which would allow issuers, broker-dealers, investment advisers and others to make electronic delivery the default for required disclosures under the Federal securities laws, without first obtaining affirmative consent.</w:t>
      </w:r>
    </w:p>
    <w:p w14:paraId="433394C5"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rule inverts three decades of default: since 1995 the SEC has governed e-delivery through guidance treating investor opt-in as the safe evidence of delivery, which is precisely why paper became the default; Regulation E-Delivery would let covered entities make electronic delivery the default without affirmative consent, provided the recipient can opt out and get free paper at any time.</w:t>
      </w:r>
    </w:p>
    <w:p w14:paraId="2CDF24C1"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most consequential design choice is a two-track delivery split keyed to personal financial information (PFI): documents with no PFI (prospectuses, proxy statements) can go straight into an email, while anything containing PFI (account statements, trade confirmations) must be delivered via a "statement of availability" pointing to an authenticated website — quietly pushing the industry toward portal-based, access-controlled disclosure infrastructure across the board.</w:t>
      </w:r>
    </w:p>
    <w:p w14:paraId="0791DC21"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Investors currently on paper get a specific, non-optional transition sequence: a paper notice at least 180 days before the switch, a paper follow-up 30 days before, and a permanent free right to opt out or revert to paper — the rule is entirely voluntary for firms to rely on, but once adopted it runs alongside a two-year window during which the 1995/1996 guidance is rescinded, after which Regulation E-Delivery becomes the only assured compliant route.</w:t>
      </w:r>
    </w:p>
    <w:p w14:paraId="01B69391"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Chairman Atkins' framing carries a deliberate digital-asset subtext: invoking "artificial intelligence and blockchain technology" by name signals this is being built as the delivery layer for tokenised funds and on-chain distribution that do not yet formally exist in the rulebook — a paper-based default was a structural obstacle to any of it.</w:t>
      </w:r>
    </w:p>
    <w:p w14:paraId="5447D048"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action item is concrete and time-bound: firms should classify every delivery obligation as PFI or non-PFI now, since that classification alone determines the required channel, and comments (which can still shape the PFI definition, safeguard standards and notice periods) are due 60 days after Federal Register publication.</w:t>
      </w:r>
    </w:p>
    <w:p w14:paraId="6B1E3CE2" w14:textId="77777777" w:rsidR="00A659F3" w:rsidRPr="00A659F3" w:rsidRDefault="00A659F3" w:rsidP="00A659F3">
      <w:pPr>
        <w:spacing w:after="240"/>
        <w:rPr>
          <w:rFonts w:ascii="Arial" w:hAnsi="Arial" w:cs="Arial"/>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12" w:history="1">
        <w:r w:rsidRPr="003F62F0">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7D8EAC03" w14:textId="77777777" w:rsidR="0076560B" w:rsidRPr="00A659F3" w:rsidRDefault="0076560B" w:rsidP="0076560B">
      <w:pPr>
        <w:pStyle w:val="2"/>
        <w:spacing w:before="40" w:after="120"/>
        <w:jc w:val="both"/>
        <w:rPr>
          <w:rFonts w:ascii="Arial" w:hAnsi="Arial" w:cs="Arial"/>
          <w:b/>
          <w:bCs/>
          <w:color w:val="000000"/>
          <w:sz w:val="24"/>
          <w:szCs w:val="24"/>
        </w:rPr>
      </w:pPr>
    </w:p>
    <w:p w14:paraId="55D0E79B" w14:textId="4512CEA7" w:rsidR="002B0F71" w:rsidRPr="00A659F3" w:rsidRDefault="00000000" w:rsidP="0076560B">
      <w:pPr>
        <w:pStyle w:val="2"/>
        <w:spacing w:before="40" w:after="120"/>
        <w:jc w:val="both"/>
        <w:rPr>
          <w:rFonts w:ascii="Arial" w:hAnsi="Arial" w:cs="Arial"/>
          <w:sz w:val="24"/>
          <w:szCs w:val="24"/>
        </w:rPr>
      </w:pPr>
      <w:r w:rsidRPr="00A659F3">
        <w:rPr>
          <w:rFonts w:ascii="Arial" w:hAnsi="Arial" w:cs="Arial"/>
          <w:b/>
          <w:bCs/>
          <w:color w:val="000000"/>
          <w:sz w:val="24"/>
          <w:szCs w:val="24"/>
        </w:rPr>
        <w:t>Hong Kong SFC Bans One-Time Passwords for Client Login, Mandating Phishing-Resistant Passkeys and Device Binding for Internet Brokers and Virtual Asset Trading Platforms by 8 July 2027</w:t>
      </w:r>
    </w:p>
    <w:p w14:paraId="4A51F87B" w14:textId="77777777" w:rsidR="002B0F71" w:rsidRPr="00A659F3" w:rsidRDefault="00000000" w:rsidP="0076560B">
      <w:pPr>
        <w:spacing w:after="160"/>
        <w:jc w:val="both"/>
        <w:rPr>
          <w:rFonts w:ascii="Arial" w:hAnsi="Arial" w:cs="Arial"/>
          <w:sz w:val="24"/>
          <w:szCs w:val="24"/>
        </w:rPr>
      </w:pPr>
      <w:r w:rsidRPr="00A659F3">
        <w:rPr>
          <w:rFonts w:ascii="Arial" w:hAnsi="Arial" w:cs="Arial"/>
          <w:color w:val="000000"/>
          <w:sz w:val="24"/>
          <w:szCs w:val="24"/>
        </w:rPr>
        <w:t xml:space="preserve">On 9 July 2026, the Securities and Futures Commission (SFC) issued a </w:t>
      </w:r>
      <w:hyperlink r:id="rId13" w:history="1">
        <w:r w:rsidR="002B0F71" w:rsidRPr="003F62F0">
          <w:rPr>
            <w:rStyle w:val="a5"/>
            <w:rFonts w:ascii="Arial" w:hAnsi="Arial" w:cs="Arial"/>
            <w:color w:val="E97132"/>
            <w:sz w:val="24"/>
            <w:szCs w:val="24"/>
          </w:rPr>
          <w:t xml:space="preserve">circular to licensed corporations and SFC-licensed virtual asset </w:t>
        </w:r>
        <w:r w:rsidR="002B0F71" w:rsidRPr="003F62F0">
          <w:rPr>
            <w:rStyle w:val="a5"/>
            <w:rFonts w:ascii="Arial" w:hAnsi="Arial" w:cs="Arial"/>
            <w:color w:val="E97132"/>
            <w:sz w:val="24"/>
            <w:szCs w:val="24"/>
          </w:rPr>
          <w:t>s</w:t>
        </w:r>
        <w:r w:rsidR="002B0F71" w:rsidRPr="003F62F0">
          <w:rPr>
            <w:rStyle w:val="a5"/>
            <w:rFonts w:ascii="Arial" w:hAnsi="Arial" w:cs="Arial"/>
            <w:color w:val="E97132"/>
            <w:sz w:val="24"/>
            <w:szCs w:val="24"/>
          </w:rPr>
          <w:t>ervice providers</w:t>
        </w:r>
      </w:hyperlink>
      <w:r w:rsidRPr="00A659F3">
        <w:rPr>
          <w:rFonts w:ascii="Arial" w:hAnsi="Arial" w:cs="Arial"/>
          <w:color w:val="000000"/>
          <w:sz w:val="24"/>
          <w:szCs w:val="24"/>
        </w:rPr>
        <w:t xml:space="preserve"> on robust authentication and surveillance, requiring internet brokers and virtual asset trading platforms to cease using one-time passwords for client login and device binding.</w:t>
      </w:r>
    </w:p>
    <w:p w14:paraId="45B651FD"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 xml:space="preserve">The SFC states its position on OTPs bluntly: it "does not consider OTP to be a phishing-resistant authentication solution", and firms must stop using OTPs for client login or device binding entirely — the trigger was a 2025 SMS phishing campaign that intercepted OTPs in real time via fake broker websites, with </w:t>
      </w:r>
      <w:r w:rsidRPr="00A659F3">
        <w:rPr>
          <w:rFonts w:ascii="Arial" w:hAnsi="Arial" w:cs="Arial"/>
          <w:color w:val="000000"/>
          <w:sz w:val="24"/>
          <w:szCs w:val="24"/>
        </w:rPr>
        <w:lastRenderedPageBreak/>
        <w:t>phishing accounting for 57% of security incidents reported to Hong Kong's CERT in 2025.</w:t>
      </w:r>
    </w:p>
    <w:p w14:paraId="7E741F70"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replacement architecture is prescriptive, not aspirational: firms must adopt FIDO-certified passkeys (private keys that never leave the client's device and only work with the genuine site) or device binding verified through methods stronger than credentials-plus-OTP, with concrete limits — generally no more than three passkeys and three bound devices per account without additional assessment, and session idle timeouts capped at 30 minutes.</w:t>
      </w:r>
    </w:p>
    <w:p w14:paraId="47E7054C"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Compliance is a four-limb standard, not a single technical fix: prevention (the authentication upgrade itself) sits alongside mandatory detection (prompt multi-channel notification of logins, new devices and bindings, plus surveillance for red flags like transactions shortly after a password reset), response (immediate containment and SFC notification) and client education.</w:t>
      </w:r>
    </w:p>
    <w:p w14:paraId="04C306F6"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enforcement teeth are personal and financial: where a firm fails to prevent, detect and stop large-scale unauthorised transactions after a hacking incident, the SFC states it "will hold the relevant firm accountable for the losses suffered by its clients", with responsibility mapped directly to the named Managers-in-Charge of Overall Management and of Information Technology.</w:t>
      </w:r>
    </w:p>
    <w:p w14:paraId="48EEB062"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deadline is real but tiered: full migration is due by 8 July 2027 (twelve months from issue), large internet brokers are expected to move immediately, existing bound devices do not need to be re-verified, and firms anticipating difficulty meeting the twelve-month window must notify their case officer now, not near the deadline.</w:t>
      </w:r>
    </w:p>
    <w:p w14:paraId="0D4774E2" w14:textId="171A8529" w:rsidR="00A659F3" w:rsidRPr="00A659F3" w:rsidRDefault="00A659F3" w:rsidP="00A659F3">
      <w:pPr>
        <w:spacing w:after="240"/>
        <w:rPr>
          <w:rFonts w:ascii="Arial" w:hAnsi="Arial" w:cs="Arial"/>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14" w:history="1">
        <w:r w:rsidRPr="003A4891">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2E1BEA41" w14:textId="77777777" w:rsidR="0076560B" w:rsidRPr="00A659F3" w:rsidRDefault="0076560B" w:rsidP="0076560B">
      <w:pPr>
        <w:pStyle w:val="2"/>
        <w:spacing w:before="40" w:after="120"/>
        <w:jc w:val="both"/>
        <w:rPr>
          <w:rFonts w:ascii="Arial" w:hAnsi="Arial" w:cs="Arial"/>
          <w:b/>
          <w:bCs/>
          <w:color w:val="000000"/>
          <w:sz w:val="24"/>
          <w:szCs w:val="24"/>
        </w:rPr>
      </w:pPr>
    </w:p>
    <w:p w14:paraId="54400792" w14:textId="6569FD01" w:rsidR="002B0F71" w:rsidRPr="00A659F3" w:rsidRDefault="00000000" w:rsidP="0076560B">
      <w:pPr>
        <w:pStyle w:val="2"/>
        <w:spacing w:before="40" w:after="120"/>
        <w:jc w:val="both"/>
        <w:rPr>
          <w:rFonts w:ascii="Arial" w:hAnsi="Arial" w:cs="Arial"/>
          <w:sz w:val="24"/>
          <w:szCs w:val="24"/>
        </w:rPr>
      </w:pPr>
      <w:proofErr w:type="spellStart"/>
      <w:r w:rsidRPr="00A659F3">
        <w:rPr>
          <w:rFonts w:ascii="Arial" w:hAnsi="Arial" w:cs="Arial"/>
          <w:b/>
          <w:bCs/>
          <w:color w:val="000000"/>
          <w:sz w:val="24"/>
          <w:szCs w:val="24"/>
        </w:rPr>
        <w:t>Latvijas</w:t>
      </w:r>
      <w:proofErr w:type="spellEnd"/>
      <w:r w:rsidRPr="00A659F3">
        <w:rPr>
          <w:rFonts w:ascii="Arial" w:hAnsi="Arial" w:cs="Arial"/>
          <w:b/>
          <w:bCs/>
          <w:color w:val="000000"/>
          <w:sz w:val="24"/>
          <w:szCs w:val="24"/>
        </w:rPr>
        <w:t xml:space="preserve"> Banka Licenses SIA MOIN Payments as Electronic Money Institution, Extending an Accelerating EMI Pipeline With Direct Relevance to </w:t>
      </w:r>
      <w:proofErr w:type="spellStart"/>
      <w:r w:rsidRPr="00A659F3">
        <w:rPr>
          <w:rFonts w:ascii="Arial" w:hAnsi="Arial" w:cs="Arial"/>
          <w:b/>
          <w:bCs/>
          <w:color w:val="000000"/>
          <w:sz w:val="24"/>
          <w:szCs w:val="24"/>
        </w:rPr>
        <w:t>MiCA</w:t>
      </w:r>
      <w:proofErr w:type="spellEnd"/>
      <w:r w:rsidRPr="00A659F3">
        <w:rPr>
          <w:rFonts w:ascii="Arial" w:hAnsi="Arial" w:cs="Arial"/>
          <w:b/>
          <w:bCs/>
          <w:color w:val="000000"/>
          <w:sz w:val="24"/>
          <w:szCs w:val="24"/>
        </w:rPr>
        <w:t xml:space="preserve"> E-Money Token Issuance</w:t>
      </w:r>
    </w:p>
    <w:p w14:paraId="376F3EB0" w14:textId="77777777" w:rsidR="002B0F71" w:rsidRPr="00A659F3" w:rsidRDefault="00000000" w:rsidP="0076560B">
      <w:pPr>
        <w:spacing w:after="160"/>
        <w:jc w:val="both"/>
        <w:rPr>
          <w:rFonts w:ascii="Arial" w:hAnsi="Arial" w:cs="Arial"/>
          <w:sz w:val="24"/>
          <w:szCs w:val="24"/>
        </w:rPr>
      </w:pPr>
      <w:r w:rsidRPr="00A659F3">
        <w:rPr>
          <w:rFonts w:ascii="Arial" w:hAnsi="Arial" w:cs="Arial"/>
          <w:color w:val="000000"/>
          <w:sz w:val="24"/>
          <w:szCs w:val="24"/>
        </w:rPr>
        <w:t xml:space="preserve">On 8 July 2026, the Supervision Committee of </w:t>
      </w:r>
      <w:proofErr w:type="spellStart"/>
      <w:r w:rsidRPr="00A659F3">
        <w:rPr>
          <w:rFonts w:ascii="Arial" w:hAnsi="Arial" w:cs="Arial"/>
          <w:color w:val="000000"/>
          <w:sz w:val="24"/>
          <w:szCs w:val="24"/>
        </w:rPr>
        <w:t>Latvijas</w:t>
      </w:r>
      <w:proofErr w:type="spellEnd"/>
      <w:r w:rsidRPr="00A659F3">
        <w:rPr>
          <w:rFonts w:ascii="Arial" w:hAnsi="Arial" w:cs="Arial"/>
          <w:color w:val="000000"/>
          <w:sz w:val="24"/>
          <w:szCs w:val="24"/>
        </w:rPr>
        <w:t xml:space="preserve"> Banka issued an </w:t>
      </w:r>
      <w:hyperlink r:id="rId15" w:history="1">
        <w:r w:rsidR="002B0F71" w:rsidRPr="003A4891">
          <w:rPr>
            <w:rStyle w:val="a5"/>
            <w:rFonts w:ascii="Arial" w:hAnsi="Arial" w:cs="Arial"/>
            <w:color w:val="E97132"/>
            <w:sz w:val="24"/>
            <w:szCs w:val="24"/>
          </w:rPr>
          <w:t>electronic money institution licence to SIA MOIN Payments</w:t>
        </w:r>
      </w:hyperlink>
      <w:r w:rsidRPr="00A659F3">
        <w:rPr>
          <w:rFonts w:ascii="Arial" w:hAnsi="Arial" w:cs="Arial"/>
          <w:color w:val="000000"/>
          <w:sz w:val="24"/>
          <w:szCs w:val="24"/>
        </w:rPr>
        <w:t>, carrying the right to provide money remittance as an additional payment service.</w:t>
      </w:r>
    </w:p>
    <w:p w14:paraId="41C4A6D3"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 xml:space="preserve">The single grant matters less than the trend line: </w:t>
      </w:r>
      <w:proofErr w:type="spellStart"/>
      <w:r w:rsidRPr="00A659F3">
        <w:rPr>
          <w:rFonts w:ascii="Arial" w:hAnsi="Arial" w:cs="Arial"/>
          <w:color w:val="000000"/>
          <w:sz w:val="24"/>
          <w:szCs w:val="24"/>
        </w:rPr>
        <w:t>Latvijas</w:t>
      </w:r>
      <w:proofErr w:type="spellEnd"/>
      <w:r w:rsidRPr="00A659F3">
        <w:rPr>
          <w:rFonts w:ascii="Arial" w:hAnsi="Arial" w:cs="Arial"/>
          <w:color w:val="000000"/>
          <w:sz w:val="24"/>
          <w:szCs w:val="24"/>
        </w:rPr>
        <w:t xml:space="preserve"> Banka has issued four EMI licences and five payment institution licences in 2026 alone, already exceeding the whole of 2025's three EMI licences — Latvia now hosts 12 licensed and 1 registered EMI, alongside 10 licensed payment institutions.</w:t>
      </w:r>
    </w:p>
    <w:p w14:paraId="3040D208"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 xml:space="preserve">The </w:t>
      </w:r>
      <w:proofErr w:type="spellStart"/>
      <w:r w:rsidRPr="00A659F3">
        <w:rPr>
          <w:rFonts w:ascii="Arial" w:hAnsi="Arial" w:cs="Arial"/>
          <w:color w:val="000000"/>
          <w:sz w:val="24"/>
          <w:szCs w:val="24"/>
        </w:rPr>
        <w:t>MiCA</w:t>
      </w:r>
      <w:proofErr w:type="spellEnd"/>
      <w:r w:rsidRPr="00A659F3">
        <w:rPr>
          <w:rFonts w:ascii="Arial" w:hAnsi="Arial" w:cs="Arial"/>
          <w:color w:val="000000"/>
          <w:sz w:val="24"/>
          <w:szCs w:val="24"/>
        </w:rPr>
        <w:t xml:space="preserve"> connection is the real reason to track this: e-money tokens under </w:t>
      </w:r>
      <w:proofErr w:type="spellStart"/>
      <w:r w:rsidRPr="00A659F3">
        <w:rPr>
          <w:rFonts w:ascii="Arial" w:hAnsi="Arial" w:cs="Arial"/>
          <w:color w:val="000000"/>
          <w:sz w:val="24"/>
          <w:szCs w:val="24"/>
        </w:rPr>
        <w:t>MiCA</w:t>
      </w:r>
      <w:proofErr w:type="spellEnd"/>
      <w:r w:rsidRPr="00A659F3">
        <w:rPr>
          <w:rFonts w:ascii="Arial" w:hAnsi="Arial" w:cs="Arial"/>
          <w:color w:val="000000"/>
          <w:sz w:val="24"/>
          <w:szCs w:val="24"/>
        </w:rPr>
        <w:t xml:space="preserve"> may only be issued by credit institutions or authorised electronic money institutions, so every EMI licence granted anywhere in the EU is latent, </w:t>
      </w:r>
      <w:proofErr w:type="spellStart"/>
      <w:r w:rsidRPr="00A659F3">
        <w:rPr>
          <w:rFonts w:ascii="Arial" w:hAnsi="Arial" w:cs="Arial"/>
          <w:color w:val="000000"/>
          <w:sz w:val="24"/>
          <w:szCs w:val="24"/>
        </w:rPr>
        <w:t>passportable</w:t>
      </w:r>
      <w:proofErr w:type="spellEnd"/>
      <w:r w:rsidRPr="00A659F3">
        <w:rPr>
          <w:rFonts w:ascii="Arial" w:hAnsi="Arial" w:cs="Arial"/>
          <w:color w:val="000000"/>
          <w:sz w:val="24"/>
          <w:szCs w:val="24"/>
        </w:rPr>
        <w:t xml:space="preserve"> e-money-token issuance capacity — Latvia's accelerating EMI pipeline is, in effect, building the institutional base for euro-denominated stablecoin issuance, whether or not that is the declared intent.</w:t>
      </w:r>
    </w:p>
    <w:p w14:paraId="41C64D88"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 xml:space="preserve">MOIN Payments' specific model is worth noting for cross-border payment structuring: e-money acceptance by both legal and natural persons, enabling online sellers to accept local-currency payments from specified countries and </w:t>
      </w:r>
      <w:r w:rsidRPr="00A659F3">
        <w:rPr>
          <w:rFonts w:ascii="Arial" w:hAnsi="Arial" w:cs="Arial"/>
          <w:color w:val="000000"/>
          <w:sz w:val="24"/>
          <w:szCs w:val="24"/>
        </w:rPr>
        <w:lastRenderedPageBreak/>
        <w:t>settle in euro — a genuine FX-bridging use case rather than a purely domestic payments licence.</w:t>
      </w:r>
    </w:p>
    <w:p w14:paraId="6F991EF7"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 xml:space="preserve">The infrastructure explains the throughput: published licensing guides with documented timelines and pre-licensing consultation through </w:t>
      </w:r>
      <w:proofErr w:type="spellStart"/>
      <w:r w:rsidRPr="00A659F3">
        <w:rPr>
          <w:rFonts w:ascii="Arial" w:hAnsi="Arial" w:cs="Arial"/>
          <w:color w:val="000000"/>
          <w:sz w:val="24"/>
          <w:szCs w:val="24"/>
        </w:rPr>
        <w:t>Latvijas</w:t>
      </w:r>
      <w:proofErr w:type="spellEnd"/>
      <w:r w:rsidRPr="00A659F3">
        <w:rPr>
          <w:rFonts w:ascii="Arial" w:hAnsi="Arial" w:cs="Arial"/>
          <w:color w:val="000000"/>
          <w:sz w:val="24"/>
          <w:szCs w:val="24"/>
        </w:rPr>
        <w:t xml:space="preserve"> Banka's Innovation Hub let supervisory experts assess compliance before an application is even filed — firms weighing EU entry should treat engagement-forward regulators as serious alternatives to the default jurisdictions, not fallback options.</w:t>
      </w:r>
    </w:p>
    <w:p w14:paraId="2E8FD52C" w14:textId="77777777" w:rsidR="0076560B" w:rsidRPr="00A659F3" w:rsidRDefault="0076560B" w:rsidP="0076560B">
      <w:pPr>
        <w:pStyle w:val="2"/>
        <w:spacing w:before="40" w:after="120"/>
        <w:jc w:val="both"/>
        <w:rPr>
          <w:rFonts w:ascii="Arial" w:hAnsi="Arial" w:cs="Arial"/>
          <w:b/>
          <w:bCs/>
          <w:color w:val="000000"/>
          <w:sz w:val="24"/>
          <w:szCs w:val="24"/>
        </w:rPr>
      </w:pPr>
    </w:p>
    <w:p w14:paraId="70949C63" w14:textId="7FF67FC0" w:rsidR="002B0F71" w:rsidRPr="00A659F3" w:rsidRDefault="00000000" w:rsidP="0076560B">
      <w:pPr>
        <w:pStyle w:val="2"/>
        <w:spacing w:before="40" w:after="120"/>
        <w:jc w:val="both"/>
        <w:rPr>
          <w:rFonts w:ascii="Arial" w:hAnsi="Arial" w:cs="Arial"/>
          <w:sz w:val="24"/>
          <w:szCs w:val="24"/>
        </w:rPr>
      </w:pPr>
      <w:proofErr w:type="spellStart"/>
      <w:r w:rsidRPr="00A659F3">
        <w:rPr>
          <w:rFonts w:ascii="Arial" w:hAnsi="Arial" w:cs="Arial"/>
          <w:b/>
          <w:bCs/>
          <w:color w:val="000000"/>
          <w:sz w:val="24"/>
          <w:szCs w:val="24"/>
        </w:rPr>
        <w:t>Latvijas</w:t>
      </w:r>
      <w:proofErr w:type="spellEnd"/>
      <w:r w:rsidRPr="00A659F3">
        <w:rPr>
          <w:rFonts w:ascii="Arial" w:hAnsi="Arial" w:cs="Arial"/>
          <w:b/>
          <w:bCs/>
          <w:color w:val="000000"/>
          <w:sz w:val="24"/>
          <w:szCs w:val="24"/>
        </w:rPr>
        <w:t xml:space="preserve"> Banka Grants </w:t>
      </w:r>
      <w:proofErr w:type="spellStart"/>
      <w:r w:rsidRPr="00A659F3">
        <w:rPr>
          <w:rFonts w:ascii="Arial" w:hAnsi="Arial" w:cs="Arial"/>
          <w:b/>
          <w:bCs/>
          <w:color w:val="000000"/>
          <w:sz w:val="24"/>
          <w:szCs w:val="24"/>
        </w:rPr>
        <w:t>Nodu</w:t>
      </w:r>
      <w:proofErr w:type="spellEnd"/>
      <w:r w:rsidRPr="00A659F3">
        <w:rPr>
          <w:rFonts w:ascii="Arial" w:hAnsi="Arial" w:cs="Arial"/>
          <w:b/>
          <w:bCs/>
          <w:color w:val="000000"/>
          <w:sz w:val="24"/>
          <w:szCs w:val="24"/>
        </w:rPr>
        <w:t xml:space="preserve"> Digital SIA Dual Crypto-Asset Service Provider and Payment Institution Licences, Its Tenth </w:t>
      </w:r>
      <w:proofErr w:type="spellStart"/>
      <w:r w:rsidRPr="00A659F3">
        <w:rPr>
          <w:rFonts w:ascii="Arial" w:hAnsi="Arial" w:cs="Arial"/>
          <w:b/>
          <w:bCs/>
          <w:color w:val="000000"/>
          <w:sz w:val="24"/>
          <w:szCs w:val="24"/>
        </w:rPr>
        <w:t>MiCA</w:t>
      </w:r>
      <w:proofErr w:type="spellEnd"/>
      <w:r w:rsidRPr="00A659F3">
        <w:rPr>
          <w:rFonts w:ascii="Arial" w:hAnsi="Arial" w:cs="Arial"/>
          <w:b/>
          <w:bCs/>
          <w:color w:val="000000"/>
          <w:sz w:val="24"/>
          <w:szCs w:val="24"/>
        </w:rPr>
        <w:t xml:space="preserve"> Authorisation, Days After the Transitional Period Ends</w:t>
      </w:r>
    </w:p>
    <w:p w14:paraId="10407F40" w14:textId="77777777" w:rsidR="002B0F71" w:rsidRPr="00A659F3" w:rsidRDefault="00000000" w:rsidP="0076560B">
      <w:pPr>
        <w:spacing w:after="160"/>
        <w:jc w:val="both"/>
        <w:rPr>
          <w:rFonts w:ascii="Arial" w:hAnsi="Arial" w:cs="Arial"/>
          <w:sz w:val="24"/>
          <w:szCs w:val="24"/>
        </w:rPr>
      </w:pPr>
      <w:r w:rsidRPr="00A659F3">
        <w:rPr>
          <w:rFonts w:ascii="Arial" w:hAnsi="Arial" w:cs="Arial"/>
          <w:color w:val="000000"/>
          <w:sz w:val="24"/>
          <w:szCs w:val="24"/>
        </w:rPr>
        <w:t xml:space="preserve">On 8 July 2026, the Supervision Committee of </w:t>
      </w:r>
      <w:hyperlink r:id="rId16" w:history="1">
        <w:proofErr w:type="spellStart"/>
        <w:r w:rsidR="002B0F71" w:rsidRPr="003A4891">
          <w:rPr>
            <w:rStyle w:val="a5"/>
            <w:rFonts w:ascii="Arial" w:hAnsi="Arial" w:cs="Arial"/>
            <w:color w:val="E97132"/>
            <w:sz w:val="24"/>
            <w:szCs w:val="24"/>
          </w:rPr>
          <w:t>Latvijas</w:t>
        </w:r>
        <w:proofErr w:type="spellEnd"/>
        <w:r w:rsidR="002B0F71" w:rsidRPr="003A4891">
          <w:rPr>
            <w:rStyle w:val="a5"/>
            <w:rFonts w:ascii="Arial" w:hAnsi="Arial" w:cs="Arial"/>
            <w:color w:val="E97132"/>
            <w:sz w:val="24"/>
            <w:szCs w:val="24"/>
          </w:rPr>
          <w:t xml:space="preserve"> Banka issued two licences to </w:t>
        </w:r>
        <w:proofErr w:type="spellStart"/>
        <w:r w:rsidR="002B0F71" w:rsidRPr="003A4891">
          <w:rPr>
            <w:rStyle w:val="a5"/>
            <w:rFonts w:ascii="Arial" w:hAnsi="Arial" w:cs="Arial"/>
            <w:color w:val="E97132"/>
            <w:sz w:val="24"/>
            <w:szCs w:val="24"/>
          </w:rPr>
          <w:t>Nodu</w:t>
        </w:r>
        <w:proofErr w:type="spellEnd"/>
        <w:r w:rsidR="002B0F71" w:rsidRPr="003A4891">
          <w:rPr>
            <w:rStyle w:val="a5"/>
            <w:rFonts w:ascii="Arial" w:hAnsi="Arial" w:cs="Arial"/>
            <w:color w:val="E97132"/>
            <w:sz w:val="24"/>
            <w:szCs w:val="24"/>
          </w:rPr>
          <w:t xml:space="preserve"> Digital SIA</w:t>
        </w:r>
      </w:hyperlink>
      <w:r w:rsidRPr="003A4891">
        <w:rPr>
          <w:rFonts w:ascii="Arial" w:hAnsi="Arial" w:cs="Arial"/>
          <w:color w:val="E97132"/>
          <w:sz w:val="24"/>
          <w:szCs w:val="24"/>
        </w:rPr>
        <w:t xml:space="preserve">, </w:t>
      </w:r>
      <w:r w:rsidRPr="00A659F3">
        <w:rPr>
          <w:rFonts w:ascii="Arial" w:hAnsi="Arial" w:cs="Arial"/>
          <w:color w:val="000000"/>
          <w:sz w:val="24"/>
          <w:szCs w:val="24"/>
        </w:rPr>
        <w:t>authorising crypto-asset services and payment institution activity respectively, its tenth company licensed under the Markets in Crypto-Assets Regulation (</w:t>
      </w:r>
      <w:proofErr w:type="spellStart"/>
      <w:r w:rsidRPr="00A659F3">
        <w:rPr>
          <w:rFonts w:ascii="Arial" w:hAnsi="Arial" w:cs="Arial"/>
          <w:color w:val="000000"/>
          <w:sz w:val="24"/>
          <w:szCs w:val="24"/>
        </w:rPr>
        <w:t>MiCA</w:t>
      </w:r>
      <w:proofErr w:type="spellEnd"/>
      <w:r w:rsidRPr="00A659F3">
        <w:rPr>
          <w:rFonts w:ascii="Arial" w:hAnsi="Arial" w:cs="Arial"/>
          <w:color w:val="000000"/>
          <w:sz w:val="24"/>
          <w:szCs w:val="24"/>
        </w:rPr>
        <w:t>).</w:t>
      </w:r>
    </w:p>
    <w:p w14:paraId="155E6257"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 xml:space="preserve">The timing is the story: Latvia's tenth </w:t>
      </w:r>
      <w:proofErr w:type="spellStart"/>
      <w:r w:rsidRPr="00A659F3">
        <w:rPr>
          <w:rFonts w:ascii="Arial" w:hAnsi="Arial" w:cs="Arial"/>
          <w:color w:val="000000"/>
          <w:sz w:val="24"/>
          <w:szCs w:val="24"/>
        </w:rPr>
        <w:t>MiCA</w:t>
      </w:r>
      <w:proofErr w:type="spellEnd"/>
      <w:r w:rsidRPr="00A659F3">
        <w:rPr>
          <w:rFonts w:ascii="Arial" w:hAnsi="Arial" w:cs="Arial"/>
          <w:color w:val="000000"/>
          <w:sz w:val="24"/>
          <w:szCs w:val="24"/>
        </w:rPr>
        <w:t xml:space="preserve"> authorisation landed exactly one week after the </w:t>
      </w:r>
      <w:proofErr w:type="spellStart"/>
      <w:r w:rsidRPr="00A659F3">
        <w:rPr>
          <w:rFonts w:ascii="Arial" w:hAnsi="Arial" w:cs="Arial"/>
          <w:color w:val="000000"/>
          <w:sz w:val="24"/>
          <w:szCs w:val="24"/>
        </w:rPr>
        <w:t>MiCA</w:t>
      </w:r>
      <w:proofErr w:type="spellEnd"/>
      <w:r w:rsidRPr="00A659F3">
        <w:rPr>
          <w:rFonts w:ascii="Arial" w:hAnsi="Arial" w:cs="Arial"/>
          <w:color w:val="000000"/>
          <w:sz w:val="24"/>
          <w:szCs w:val="24"/>
        </w:rPr>
        <w:t xml:space="preserve"> transitional period ended and ESMA ordered unauthorised CASPs across the EU to wind down — as unauthorised capacity exits the market, jurisdictions like Latvia are visibly the ones producing the authorised capacity left to absorb it.</w:t>
      </w:r>
    </w:p>
    <w:p w14:paraId="60EF5DE6"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 xml:space="preserve">The dual-licence structure closes an operational gap that trips up many single-licence CASPs: a crypto-asset service provider licence covers the crypto leg (here, exchange for funds and client transfer services) but confers no right to move fiat, so </w:t>
      </w:r>
      <w:proofErr w:type="spellStart"/>
      <w:r w:rsidRPr="00A659F3">
        <w:rPr>
          <w:rFonts w:ascii="Arial" w:hAnsi="Arial" w:cs="Arial"/>
          <w:color w:val="000000"/>
          <w:sz w:val="24"/>
          <w:szCs w:val="24"/>
        </w:rPr>
        <w:t>Nodu</w:t>
      </w:r>
      <w:proofErr w:type="spellEnd"/>
      <w:r w:rsidRPr="00A659F3">
        <w:rPr>
          <w:rFonts w:ascii="Arial" w:hAnsi="Arial" w:cs="Arial"/>
          <w:color w:val="000000"/>
          <w:sz w:val="24"/>
          <w:szCs w:val="24"/>
        </w:rPr>
        <w:t xml:space="preserve"> Digital also holds a payment institution licence under the separate EU payments framework — crypto in, exchange, fiat out to a payment account, all under one supervised roof, both permissions </w:t>
      </w:r>
      <w:proofErr w:type="spellStart"/>
      <w:r w:rsidRPr="00A659F3">
        <w:rPr>
          <w:rFonts w:ascii="Arial" w:hAnsi="Arial" w:cs="Arial"/>
          <w:color w:val="000000"/>
          <w:sz w:val="24"/>
          <w:szCs w:val="24"/>
        </w:rPr>
        <w:t>passportable</w:t>
      </w:r>
      <w:proofErr w:type="spellEnd"/>
      <w:r w:rsidRPr="00A659F3">
        <w:rPr>
          <w:rFonts w:ascii="Arial" w:hAnsi="Arial" w:cs="Arial"/>
          <w:color w:val="000000"/>
          <w:sz w:val="24"/>
          <w:szCs w:val="24"/>
        </w:rPr>
        <w:t>.</w:t>
      </w:r>
    </w:p>
    <w:p w14:paraId="59F22688"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This removes a specific dependency that has been an operational weak point for many CASPs built on merchant settlement or client pay-outs: reliance on a third-party payment partner, which is also frequently the compliance seam where things go wrong.</w:t>
      </w:r>
    </w:p>
    <w:p w14:paraId="39BD116A"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For firms migrating client books out of wound-down EU platforms, the practical read is direct: the register of authorised CASPs is the destination list, and it is growing fastest from jurisdictions the default shortlists tend to overlook — pre-licensing consultation should precede any application, not follow a deficiency letter.</w:t>
      </w:r>
    </w:p>
    <w:p w14:paraId="40CA7776" w14:textId="37CFFF63" w:rsidR="00A659F3" w:rsidRPr="00A659F3" w:rsidRDefault="00A659F3" w:rsidP="00A659F3">
      <w:pPr>
        <w:spacing w:after="240"/>
        <w:rPr>
          <w:rFonts w:ascii="Arial" w:hAnsi="Arial" w:cs="Arial"/>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17" w:history="1">
        <w:r w:rsidRPr="003A4891">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3079E0C4" w14:textId="77777777" w:rsidR="0076560B" w:rsidRPr="00A659F3" w:rsidRDefault="0076560B" w:rsidP="0076560B">
      <w:pPr>
        <w:pStyle w:val="2"/>
        <w:spacing w:before="40" w:after="120"/>
        <w:jc w:val="both"/>
        <w:rPr>
          <w:rFonts w:ascii="Arial" w:hAnsi="Arial" w:cs="Arial"/>
          <w:b/>
          <w:bCs/>
          <w:color w:val="000000"/>
          <w:sz w:val="24"/>
          <w:szCs w:val="24"/>
        </w:rPr>
      </w:pPr>
    </w:p>
    <w:p w14:paraId="5010686C" w14:textId="25AB1CBA" w:rsidR="002B0F71" w:rsidRPr="00A659F3" w:rsidRDefault="00000000" w:rsidP="0076560B">
      <w:pPr>
        <w:pStyle w:val="2"/>
        <w:spacing w:before="40" w:after="120"/>
        <w:jc w:val="both"/>
        <w:rPr>
          <w:rFonts w:ascii="Arial" w:hAnsi="Arial" w:cs="Arial"/>
          <w:sz w:val="24"/>
          <w:szCs w:val="24"/>
        </w:rPr>
      </w:pPr>
      <w:r w:rsidRPr="00A659F3">
        <w:rPr>
          <w:rFonts w:ascii="Arial" w:hAnsi="Arial" w:cs="Arial"/>
          <w:b/>
          <w:bCs/>
          <w:color w:val="000000"/>
          <w:sz w:val="24"/>
          <w:szCs w:val="24"/>
        </w:rPr>
        <w:t>United Kingdom: FCA Appoints 27-Member Secondary Markets Advisory Committee for 2026 to 2028, the Term in Which Cryptoasset Trading Platforms Enter the Regulatory Perimeter</w:t>
      </w:r>
    </w:p>
    <w:p w14:paraId="2082C7EF" w14:textId="77777777" w:rsidR="002B0F71" w:rsidRPr="00A659F3" w:rsidRDefault="00000000" w:rsidP="0076560B">
      <w:pPr>
        <w:spacing w:after="160"/>
        <w:jc w:val="both"/>
        <w:rPr>
          <w:rFonts w:ascii="Arial" w:hAnsi="Arial" w:cs="Arial"/>
          <w:sz w:val="24"/>
          <w:szCs w:val="24"/>
        </w:rPr>
      </w:pPr>
      <w:r w:rsidRPr="00A659F3">
        <w:rPr>
          <w:rFonts w:ascii="Arial" w:hAnsi="Arial" w:cs="Arial"/>
          <w:color w:val="000000"/>
          <w:sz w:val="24"/>
          <w:szCs w:val="24"/>
        </w:rPr>
        <w:t xml:space="preserve">On 8 July 2026, the Financial Conduct Authority announced </w:t>
      </w:r>
      <w:hyperlink r:id="rId18" w:history="1">
        <w:r w:rsidR="002B0F71" w:rsidRPr="003A4891">
          <w:rPr>
            <w:rStyle w:val="a5"/>
            <w:rFonts w:ascii="Arial" w:hAnsi="Arial" w:cs="Arial"/>
            <w:color w:val="E97132"/>
            <w:sz w:val="24"/>
            <w:szCs w:val="24"/>
          </w:rPr>
          <w:t>appointments to its Secondary Markets Advisory Committee for July 2026 to July 2028</w:t>
        </w:r>
      </w:hyperlink>
      <w:r w:rsidRPr="00A659F3">
        <w:rPr>
          <w:rFonts w:ascii="Arial" w:hAnsi="Arial" w:cs="Arial"/>
          <w:color w:val="000000"/>
          <w:sz w:val="24"/>
          <w:szCs w:val="24"/>
        </w:rPr>
        <w:t>, growing the committee from 25 to 27 members.</w:t>
      </w:r>
    </w:p>
    <w:p w14:paraId="543CE75A"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lastRenderedPageBreak/>
        <w:t xml:space="preserve">The committee's composition is itself the information: venues (LME, ICE Futures Europe, LSEG, Aquis, CBOE Europe), sell-side banks (Morgan Stanley, J.P. Morgan, Barclays, Deutsche Bank, Goldman Sachs), buy-side firms (Vanguard, Baillie Gifford, BlackRock), principal traders (Jane Street, </w:t>
      </w:r>
      <w:proofErr w:type="spellStart"/>
      <w:r w:rsidRPr="00A659F3">
        <w:rPr>
          <w:rFonts w:ascii="Arial" w:hAnsi="Arial" w:cs="Arial"/>
          <w:color w:val="000000"/>
          <w:sz w:val="24"/>
          <w:szCs w:val="24"/>
        </w:rPr>
        <w:t>Optiver</w:t>
      </w:r>
      <w:proofErr w:type="spellEnd"/>
      <w:r w:rsidRPr="00A659F3">
        <w:rPr>
          <w:rFonts w:ascii="Arial" w:hAnsi="Arial" w:cs="Arial"/>
          <w:color w:val="000000"/>
          <w:sz w:val="24"/>
          <w:szCs w:val="24"/>
        </w:rPr>
        <w:t>, Citadel) and interdealer brokers (TP ICAP, BGC) — this is who the FCA consults when it writes wholesale market structure policy.</w:t>
      </w:r>
    </w:p>
    <w:p w14:paraId="3F844522"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 xml:space="preserve">The pointed absence is the real story: the 2026–2028 term spans the entire commencement of the UK cryptoasset regime — the authorisation gateway opening 30 September 2026 and full commencement, including QCATP authorisation and the cryptoasset market abuse regime, on 25 October 2027 — yet </w:t>
      </w:r>
      <w:proofErr w:type="spellStart"/>
      <w:r w:rsidRPr="00A659F3">
        <w:rPr>
          <w:rFonts w:ascii="Arial" w:hAnsi="Arial" w:cs="Arial"/>
          <w:color w:val="000000"/>
          <w:sz w:val="24"/>
          <w:szCs w:val="24"/>
        </w:rPr>
        <w:t>cryptoassets</w:t>
      </w:r>
      <w:proofErr w:type="spellEnd"/>
      <w:r w:rsidRPr="00A659F3">
        <w:rPr>
          <w:rFonts w:ascii="Arial" w:hAnsi="Arial" w:cs="Arial"/>
          <w:color w:val="000000"/>
          <w:sz w:val="24"/>
          <w:szCs w:val="24"/>
        </w:rPr>
        <w:t xml:space="preserve"> sit outside the committee's stated remit and no crypto-native firm holds a seat.</w:t>
      </w:r>
    </w:p>
    <w:p w14:paraId="505CF03C"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That absence has practical consequences regardless of formal remit: transparency calibration, venue competition, best-execution evidence and surveillance standards developed for traditional markets tend to migrate into adjacent regimes through staff habit and supervisory practice before any rulebook formally cross-refers — crypto-native platforms preparing UK authorisation are not in the room where those concepts are being set.</w:t>
      </w:r>
    </w:p>
    <w:p w14:paraId="18790132"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Trade association channels are, for now, the only available substitute — firms should engage through them actively rather than wait for the committee's remit or membership to catch up with the perimeter.</w:t>
      </w:r>
    </w:p>
    <w:p w14:paraId="66AD2807" w14:textId="3911EA34" w:rsidR="00A659F3" w:rsidRPr="00A659F3" w:rsidRDefault="00A659F3" w:rsidP="00A659F3">
      <w:pPr>
        <w:spacing w:after="240"/>
        <w:rPr>
          <w:rFonts w:ascii="Arial" w:hAnsi="Arial" w:cs="Arial"/>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19" w:history="1">
        <w:r w:rsidRPr="003A4891">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65318C18" w14:textId="77777777" w:rsidR="0076560B" w:rsidRPr="00A659F3" w:rsidRDefault="0076560B" w:rsidP="0076560B">
      <w:pPr>
        <w:pStyle w:val="2"/>
        <w:spacing w:before="40" w:after="120"/>
        <w:jc w:val="both"/>
        <w:rPr>
          <w:rFonts w:ascii="Arial" w:hAnsi="Arial" w:cs="Arial"/>
          <w:b/>
          <w:bCs/>
          <w:color w:val="000000"/>
          <w:sz w:val="24"/>
          <w:szCs w:val="24"/>
        </w:rPr>
      </w:pPr>
    </w:p>
    <w:p w14:paraId="3D745042" w14:textId="4EB086D6" w:rsidR="002B0F71" w:rsidRPr="00A659F3" w:rsidRDefault="00000000" w:rsidP="0076560B">
      <w:pPr>
        <w:pStyle w:val="2"/>
        <w:spacing w:before="40" w:after="120"/>
        <w:jc w:val="both"/>
        <w:rPr>
          <w:rFonts w:ascii="Arial" w:hAnsi="Arial" w:cs="Arial"/>
          <w:sz w:val="24"/>
          <w:szCs w:val="24"/>
        </w:rPr>
      </w:pPr>
      <w:r w:rsidRPr="00A659F3">
        <w:rPr>
          <w:rFonts w:ascii="Arial" w:hAnsi="Arial" w:cs="Arial"/>
          <w:b/>
          <w:bCs/>
          <w:color w:val="000000"/>
          <w:sz w:val="24"/>
          <w:szCs w:val="24"/>
        </w:rPr>
        <w:t>US SEC's 2026 Regulatory Agenda Prioritises Crypto, IPO Reform and Private-Market Access</w:t>
      </w:r>
    </w:p>
    <w:p w14:paraId="3237C86C" w14:textId="77777777" w:rsidR="002B0F71" w:rsidRPr="00A659F3" w:rsidRDefault="00000000" w:rsidP="0076560B">
      <w:pPr>
        <w:spacing w:after="160"/>
        <w:jc w:val="both"/>
        <w:rPr>
          <w:rFonts w:ascii="Arial" w:hAnsi="Arial" w:cs="Arial"/>
          <w:sz w:val="24"/>
          <w:szCs w:val="24"/>
        </w:rPr>
      </w:pPr>
      <w:r w:rsidRPr="00A659F3">
        <w:rPr>
          <w:rFonts w:ascii="Arial" w:hAnsi="Arial" w:cs="Arial"/>
          <w:color w:val="000000"/>
          <w:sz w:val="24"/>
          <w:szCs w:val="24"/>
        </w:rPr>
        <w:t xml:space="preserve">On 7 July 2026, United States Securities and Exchange Commission (SEC) Chairman Paul S. Atkins outlined the </w:t>
      </w:r>
      <w:hyperlink r:id="rId20" w:history="1">
        <w:r w:rsidR="002B0F71" w:rsidRPr="003A4891">
          <w:rPr>
            <w:rStyle w:val="a5"/>
            <w:rFonts w:ascii="Arial" w:hAnsi="Arial" w:cs="Arial"/>
            <w:color w:val="E97132"/>
            <w:sz w:val="24"/>
            <w:szCs w:val="24"/>
          </w:rPr>
          <w:t>SEC's 2026 Regulatory Agenda</w:t>
        </w:r>
      </w:hyperlink>
      <w:r w:rsidRPr="00A659F3">
        <w:rPr>
          <w:rFonts w:ascii="Arial" w:hAnsi="Arial" w:cs="Arial"/>
          <w:color w:val="000000"/>
          <w:sz w:val="24"/>
          <w:szCs w:val="24"/>
        </w:rPr>
        <w:t>, centred on digital asset innovation, public-market revitalisation and broader investor access to private markets.</w:t>
      </w:r>
    </w:p>
    <w:p w14:paraId="2110A5E9"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 xml:space="preserve">Three priorities are named explicitly by Chairman Atkins: clearer rules for cryptoasset capital raising, bringing more digital asset products and businesses onshore, and clarifying how regulated entities may custody and trade tokenised securities </w:t>
      </w:r>
      <w:proofErr w:type="spellStart"/>
      <w:r w:rsidRPr="00A659F3">
        <w:rPr>
          <w:rFonts w:ascii="Arial" w:hAnsi="Arial" w:cs="Arial"/>
          <w:color w:val="000000"/>
          <w:sz w:val="24"/>
          <w:szCs w:val="24"/>
        </w:rPr>
        <w:t>onchain</w:t>
      </w:r>
      <w:proofErr w:type="spellEnd"/>
      <w:r w:rsidRPr="00A659F3">
        <w:rPr>
          <w:rFonts w:ascii="Arial" w:hAnsi="Arial" w:cs="Arial"/>
          <w:color w:val="000000"/>
          <w:sz w:val="24"/>
          <w:szCs w:val="24"/>
        </w:rPr>
        <w:t xml:space="preserve"> — each paired with a stated commitment to continued enforcement against market misconduct rather than deregulation without guardrails.</w:t>
      </w:r>
    </w:p>
    <w:p w14:paraId="16B9AAD9"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Public-market revitalisation gets equal billing with crypto: disclosure reform guided by materiality is aimed squarely at reversing the decline in the number of US public companies, positioning IPO-friendliness (consistent with the same week's 86% IPO-proceeds jump) as a deliberate policy objective rather than a market accident.</w:t>
      </w:r>
    </w:p>
    <w:p w14:paraId="6BDBFA15"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Retail access to private markets is the quieter but structurally significant third strand: the agenda signals the SEC is actively considering mechanisms to expand retail participation in private markets, subject to safeguards — a reversal of the traditional accredited-investor gatekeeping model that crypto and tokenisation businesses should watch closely.</w:t>
      </w:r>
    </w:p>
    <w:p w14:paraId="7115DAC2"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lastRenderedPageBreak/>
        <w:t>This is a statement of direction, not a rulemaking with a deadline: cryptoasset issuers, tokenisation businesses and prospective public companies should treat it as a signal of where forthcoming proposals will land rather than an immediate compliance trigger.</w:t>
      </w:r>
    </w:p>
    <w:p w14:paraId="32DC6A3F" w14:textId="2589C857" w:rsidR="00A659F3" w:rsidRPr="00A659F3" w:rsidRDefault="00A659F3" w:rsidP="00A659F3">
      <w:pPr>
        <w:spacing w:after="240"/>
        <w:rPr>
          <w:rFonts w:ascii="Arial" w:hAnsi="Arial" w:cs="Arial"/>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21" w:history="1">
        <w:r w:rsidRPr="003A4891">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5DD1AF8B" w14:textId="77777777" w:rsidR="0076560B" w:rsidRPr="00A659F3" w:rsidRDefault="0076560B" w:rsidP="0076560B">
      <w:pPr>
        <w:pStyle w:val="2"/>
        <w:spacing w:before="40" w:after="120"/>
        <w:jc w:val="both"/>
        <w:rPr>
          <w:rFonts w:ascii="Arial" w:hAnsi="Arial" w:cs="Arial"/>
          <w:b/>
          <w:bCs/>
          <w:color w:val="000000"/>
          <w:sz w:val="24"/>
          <w:szCs w:val="24"/>
        </w:rPr>
      </w:pPr>
    </w:p>
    <w:p w14:paraId="4641C67B" w14:textId="38D85215" w:rsidR="002B0F71" w:rsidRPr="00A659F3" w:rsidRDefault="00000000" w:rsidP="0076560B">
      <w:pPr>
        <w:pStyle w:val="2"/>
        <w:spacing w:before="40" w:after="120"/>
        <w:jc w:val="both"/>
        <w:rPr>
          <w:rFonts w:ascii="Arial" w:hAnsi="Arial" w:cs="Arial"/>
          <w:sz w:val="24"/>
          <w:szCs w:val="24"/>
        </w:rPr>
      </w:pPr>
      <w:r w:rsidRPr="00A659F3">
        <w:rPr>
          <w:rFonts w:ascii="Arial" w:hAnsi="Arial" w:cs="Arial"/>
          <w:b/>
          <w:bCs/>
          <w:color w:val="000000"/>
          <w:sz w:val="24"/>
          <w:szCs w:val="24"/>
        </w:rPr>
        <w:t>US SEC Appoints Paul Knight as Chief Operating Officer</w:t>
      </w:r>
    </w:p>
    <w:p w14:paraId="646835EC" w14:textId="77777777" w:rsidR="002B0F71" w:rsidRPr="00A659F3" w:rsidRDefault="00000000" w:rsidP="0076560B">
      <w:pPr>
        <w:spacing w:after="160"/>
        <w:jc w:val="both"/>
        <w:rPr>
          <w:rFonts w:ascii="Arial" w:hAnsi="Arial" w:cs="Arial"/>
          <w:sz w:val="24"/>
          <w:szCs w:val="24"/>
        </w:rPr>
      </w:pPr>
      <w:r w:rsidRPr="00A659F3">
        <w:rPr>
          <w:rFonts w:ascii="Arial" w:hAnsi="Arial" w:cs="Arial"/>
          <w:color w:val="000000"/>
          <w:sz w:val="24"/>
          <w:szCs w:val="24"/>
        </w:rPr>
        <w:t xml:space="preserve">On 6 July 2026, the United States Securities and Exchange Commission (SEC) announced the appointment of </w:t>
      </w:r>
      <w:hyperlink r:id="rId22" w:history="1">
        <w:r w:rsidR="002B0F71" w:rsidRPr="003A4891">
          <w:rPr>
            <w:rStyle w:val="a5"/>
            <w:rFonts w:ascii="Arial" w:hAnsi="Arial" w:cs="Arial"/>
            <w:color w:val="E97132"/>
            <w:sz w:val="24"/>
            <w:szCs w:val="24"/>
          </w:rPr>
          <w:t>Paul Knight as its Chief Operating Officer</w:t>
        </w:r>
      </w:hyperlink>
      <w:r w:rsidRPr="00A659F3">
        <w:rPr>
          <w:rFonts w:ascii="Arial" w:hAnsi="Arial" w:cs="Arial"/>
          <w:color w:val="000000"/>
          <w:sz w:val="24"/>
          <w:szCs w:val="24"/>
        </w:rPr>
        <w:t>.</w:t>
      </w:r>
    </w:p>
    <w:p w14:paraId="0CE98564"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remit is unusually broad for a COO appointment: Mr Knight will oversee Human Resources, Acquisitions, Financial Management, the EDGAR Business Office, the Chief Data Officer and Chief Risk Officer functions, and Support Operations including FOIA administration — effectively the SEC's entire internal operating backbone, not just administration.</w:t>
      </w:r>
    </w:p>
    <w:p w14:paraId="75AEFAF5"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His background bridges regulator and industry deliberately: most recently at JPMorgan Chase managing the firm's expansion programme into 25 additional states, with earlier stints at the US Treasury and, between 2008 and 2012, at the SEC itself, including as interim managing executive of the Division of Economic and Risk Analysis — a genuine return rather than a first appointment.</w:t>
      </w:r>
    </w:p>
    <w:p w14:paraId="54DE7A98"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EDGAR and data-governance placement is the detail worth noting: pairing oversight of EDGAR's business infrastructure with the Chief Data Officer function under one COO suggests the SEC is treating its filing and data infrastructure as a single operational priority, relevant to any firm tracking the agency's wider data-modernisation direction.</w:t>
      </w:r>
    </w:p>
    <w:p w14:paraId="4F19C5CE" w14:textId="555DA986" w:rsidR="00A659F3" w:rsidRPr="00A659F3" w:rsidRDefault="00A659F3" w:rsidP="00A659F3">
      <w:pPr>
        <w:spacing w:after="240"/>
        <w:rPr>
          <w:rFonts w:ascii="Arial" w:hAnsi="Arial" w:cs="Arial"/>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23" w:history="1">
        <w:r w:rsidRPr="003A4891">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7EA635EB" w14:textId="77777777" w:rsidR="0076560B" w:rsidRPr="00A659F3" w:rsidRDefault="0076560B" w:rsidP="0076560B">
      <w:pPr>
        <w:pStyle w:val="2"/>
        <w:spacing w:before="40" w:after="120"/>
        <w:jc w:val="both"/>
        <w:rPr>
          <w:rFonts w:ascii="Arial" w:hAnsi="Arial" w:cs="Arial"/>
          <w:b/>
          <w:bCs/>
          <w:color w:val="000000"/>
          <w:sz w:val="24"/>
          <w:szCs w:val="24"/>
        </w:rPr>
      </w:pPr>
    </w:p>
    <w:p w14:paraId="2BC2BFCF" w14:textId="50483F03" w:rsidR="002B0F71" w:rsidRPr="00A659F3" w:rsidRDefault="00000000" w:rsidP="0076560B">
      <w:pPr>
        <w:pStyle w:val="2"/>
        <w:spacing w:before="40" w:after="120"/>
        <w:jc w:val="both"/>
        <w:rPr>
          <w:rFonts w:ascii="Arial" w:hAnsi="Arial" w:cs="Arial"/>
          <w:sz w:val="24"/>
          <w:szCs w:val="24"/>
        </w:rPr>
      </w:pPr>
      <w:r w:rsidRPr="00A659F3">
        <w:rPr>
          <w:rFonts w:ascii="Arial" w:hAnsi="Arial" w:cs="Arial"/>
          <w:b/>
          <w:bCs/>
          <w:color w:val="000000"/>
          <w:sz w:val="24"/>
          <w:szCs w:val="24"/>
        </w:rPr>
        <w:t>Singapore: MAS and Industry Publish SAFR White Paper Setting Runtime Safeguards for AI Agents in Financial Services</w:t>
      </w:r>
    </w:p>
    <w:p w14:paraId="69453A18" w14:textId="77777777" w:rsidR="002B0F71" w:rsidRPr="00A659F3" w:rsidRDefault="00000000" w:rsidP="0076560B">
      <w:pPr>
        <w:spacing w:after="160"/>
        <w:jc w:val="both"/>
        <w:rPr>
          <w:rFonts w:ascii="Arial" w:hAnsi="Arial" w:cs="Arial"/>
          <w:sz w:val="24"/>
          <w:szCs w:val="24"/>
        </w:rPr>
      </w:pPr>
      <w:r w:rsidRPr="00A659F3">
        <w:rPr>
          <w:rFonts w:ascii="Arial" w:hAnsi="Arial" w:cs="Arial"/>
          <w:color w:val="000000"/>
          <w:sz w:val="24"/>
          <w:szCs w:val="24"/>
        </w:rPr>
        <w:t xml:space="preserve">On 3 July 2026, the Monetary Authority of Singapore, together with leading financial institutions and </w:t>
      </w:r>
      <w:proofErr w:type="spellStart"/>
      <w:r w:rsidRPr="00A659F3">
        <w:rPr>
          <w:rFonts w:ascii="Arial" w:hAnsi="Arial" w:cs="Arial"/>
          <w:color w:val="000000"/>
          <w:sz w:val="24"/>
          <w:szCs w:val="24"/>
        </w:rPr>
        <w:t>FinTechs</w:t>
      </w:r>
      <w:proofErr w:type="spellEnd"/>
      <w:r w:rsidRPr="00A659F3">
        <w:rPr>
          <w:rFonts w:ascii="Arial" w:hAnsi="Arial" w:cs="Arial"/>
          <w:color w:val="000000"/>
          <w:sz w:val="24"/>
          <w:szCs w:val="24"/>
        </w:rPr>
        <w:t xml:space="preserve">, published </w:t>
      </w:r>
      <w:hyperlink r:id="rId24" w:history="1">
        <w:r w:rsidR="002B0F71" w:rsidRPr="003A4891">
          <w:rPr>
            <w:rStyle w:val="a5"/>
            <w:rFonts w:ascii="Arial" w:hAnsi="Arial" w:cs="Arial"/>
            <w:color w:val="E97132"/>
            <w:sz w:val="24"/>
            <w:szCs w:val="24"/>
          </w:rPr>
          <w:t>Safeguards for Agentic Finance at Runtime</w:t>
        </w:r>
      </w:hyperlink>
      <w:r w:rsidRPr="00A659F3">
        <w:rPr>
          <w:rFonts w:ascii="Arial" w:hAnsi="Arial" w:cs="Arial"/>
          <w:color w:val="000000"/>
          <w:sz w:val="24"/>
          <w:szCs w:val="24"/>
        </w:rPr>
        <w:t>, an industry white paper on safeguards for AI agents in finance, developed under MAS's BuildFin.ai initiative.</w:t>
      </w:r>
    </w:p>
    <w:p w14:paraId="1FD29904"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SAFR's real innovation is architectural, not procedural: because AI agents transact faster than any human can intervene, the control point shifts from human sign-off to a machine-checkable governance checkpoint that validates and records each proposed action before execution — the machine-speed equivalent of four-eyes approval, expressed as code rather than exercised by a person.</w:t>
      </w:r>
    </w:p>
    <w:p w14:paraId="6D44F050"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 xml:space="preserve">Four safeguard classes do the actual work: policy-bound execution (actions outside the codified mandate are structurally unavailable, not merely prohibited), real-time validation, auditability (a </w:t>
      </w:r>
      <w:proofErr w:type="spellStart"/>
      <w:r w:rsidRPr="00A659F3">
        <w:rPr>
          <w:rFonts w:ascii="Arial" w:hAnsi="Arial" w:cs="Arial"/>
          <w:color w:val="000000"/>
          <w:sz w:val="24"/>
          <w:szCs w:val="24"/>
        </w:rPr>
        <w:t>reconstructable</w:t>
      </w:r>
      <w:proofErr w:type="spellEnd"/>
      <w:r w:rsidRPr="00A659F3">
        <w:rPr>
          <w:rFonts w:ascii="Arial" w:hAnsi="Arial" w:cs="Arial"/>
          <w:color w:val="000000"/>
          <w:sz w:val="24"/>
          <w:szCs w:val="24"/>
        </w:rPr>
        <w:t xml:space="preserve"> record of proposal, validation, decision and execution) and interoperability across vendors and platforms.</w:t>
      </w:r>
    </w:p>
    <w:p w14:paraId="08C4204E"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 xml:space="preserve">MAS's own regulatory pattern is worth reading into this: FEAT (2018), Veritas (2019) and Project </w:t>
      </w:r>
      <w:proofErr w:type="spellStart"/>
      <w:r w:rsidRPr="00A659F3">
        <w:rPr>
          <w:rFonts w:ascii="Arial" w:hAnsi="Arial" w:cs="Arial"/>
          <w:color w:val="000000"/>
          <w:sz w:val="24"/>
          <w:szCs w:val="24"/>
        </w:rPr>
        <w:t>Mindforge</w:t>
      </w:r>
      <w:proofErr w:type="spellEnd"/>
      <w:r w:rsidRPr="00A659F3">
        <w:rPr>
          <w:rFonts w:ascii="Arial" w:hAnsi="Arial" w:cs="Arial"/>
          <w:color w:val="000000"/>
          <w:sz w:val="24"/>
          <w:szCs w:val="24"/>
        </w:rPr>
        <w:t xml:space="preserve"> each began as voluntary, industry co-developed </w:t>
      </w:r>
      <w:r w:rsidRPr="00A659F3">
        <w:rPr>
          <w:rFonts w:ascii="Arial" w:hAnsi="Arial" w:cs="Arial"/>
          <w:color w:val="000000"/>
          <w:sz w:val="24"/>
          <w:szCs w:val="24"/>
        </w:rPr>
        <w:lastRenderedPageBreak/>
        <w:t>guidance and matured into supervisory expectation — firms deploying agents in Singapore should assume SAFR alignment will be asked about at inspection regardless of its current non-binding status.</w:t>
      </w:r>
    </w:p>
    <w:p w14:paraId="671811BF"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Crypto-native treasuries are the sharpest immediate application: autonomous agents already move value on-chain at machine speed, and a mandate-bounded, checkpoint-verified execution pattern is emerging as the template for demonstrating that an agent-operated wallet or settlement flow remains under institutional control.</w:t>
      </w:r>
    </w:p>
    <w:p w14:paraId="216DBC2F"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 xml:space="preserve">Participation is open now, not theoretical: MAS is inviting industry partners, including VASPs with Singapore operations, to join the BuildFin.ai work group shaping the next SAFR iteration via </w:t>
      </w:r>
      <w:hyperlink r:id="rId25" w:history="1">
        <w:r w:rsidR="002B0F71" w:rsidRPr="003A4891">
          <w:rPr>
            <w:rStyle w:val="a5"/>
            <w:rFonts w:ascii="Arial" w:hAnsi="Arial" w:cs="Arial"/>
            <w:color w:val="E97132"/>
            <w:sz w:val="24"/>
            <w:szCs w:val="24"/>
          </w:rPr>
          <w:t>MAS's form</w:t>
        </w:r>
      </w:hyperlink>
      <w:r w:rsidRPr="00A659F3">
        <w:rPr>
          <w:rFonts w:ascii="Arial" w:hAnsi="Arial" w:cs="Arial"/>
          <w:color w:val="000000"/>
          <w:sz w:val="24"/>
          <w:szCs w:val="24"/>
        </w:rPr>
        <w:t xml:space="preserve"> — a real opportunity to influence the framework before it hardens.</w:t>
      </w:r>
    </w:p>
    <w:p w14:paraId="3CF1D4EF" w14:textId="75658076" w:rsidR="00A659F3" w:rsidRPr="00A659F3" w:rsidRDefault="00A659F3" w:rsidP="00A659F3">
      <w:pPr>
        <w:spacing w:after="240"/>
        <w:rPr>
          <w:rFonts w:ascii="Arial" w:hAnsi="Arial" w:cs="Arial"/>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26" w:history="1">
        <w:r w:rsidRPr="003A4891">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5645FBFE" w14:textId="77777777" w:rsidR="0076560B" w:rsidRPr="00A659F3" w:rsidRDefault="0076560B" w:rsidP="0076560B">
      <w:pPr>
        <w:pStyle w:val="2"/>
        <w:spacing w:before="40" w:after="120"/>
        <w:jc w:val="both"/>
        <w:rPr>
          <w:rFonts w:ascii="Arial" w:hAnsi="Arial" w:cs="Arial"/>
          <w:b/>
          <w:bCs/>
          <w:color w:val="000000"/>
          <w:sz w:val="24"/>
          <w:szCs w:val="24"/>
        </w:rPr>
      </w:pPr>
    </w:p>
    <w:p w14:paraId="66821460" w14:textId="496F84C9" w:rsidR="002B0F71" w:rsidRPr="00A659F3" w:rsidRDefault="00000000" w:rsidP="0076560B">
      <w:pPr>
        <w:pStyle w:val="2"/>
        <w:spacing w:before="40" w:after="120"/>
        <w:jc w:val="both"/>
        <w:rPr>
          <w:rFonts w:ascii="Arial" w:hAnsi="Arial" w:cs="Arial"/>
          <w:sz w:val="24"/>
          <w:szCs w:val="24"/>
        </w:rPr>
      </w:pPr>
      <w:r w:rsidRPr="00A659F3">
        <w:rPr>
          <w:rFonts w:ascii="Arial" w:hAnsi="Arial" w:cs="Arial"/>
          <w:b/>
          <w:bCs/>
          <w:color w:val="000000"/>
          <w:sz w:val="24"/>
          <w:szCs w:val="24"/>
        </w:rPr>
        <w:t>The Bahamas: Securities Commission Warns Against DSJ Exchange and BG Wealth Sharing, a USDT "Click a Button" App Ponzi Scheme Flagged by Nine Regulators Worldwide</w:t>
      </w:r>
    </w:p>
    <w:p w14:paraId="27549625" w14:textId="77777777" w:rsidR="002B0F71" w:rsidRPr="00A659F3" w:rsidRDefault="00000000" w:rsidP="0076560B">
      <w:pPr>
        <w:spacing w:after="160"/>
        <w:jc w:val="both"/>
        <w:rPr>
          <w:rFonts w:ascii="Arial" w:hAnsi="Arial" w:cs="Arial"/>
          <w:sz w:val="24"/>
          <w:szCs w:val="24"/>
        </w:rPr>
      </w:pPr>
      <w:r w:rsidRPr="00A659F3">
        <w:rPr>
          <w:rFonts w:ascii="Arial" w:hAnsi="Arial" w:cs="Arial"/>
          <w:color w:val="000000"/>
          <w:sz w:val="24"/>
          <w:szCs w:val="24"/>
        </w:rPr>
        <w:t xml:space="preserve">On 3 July 2026, the Securities Commission of The Bahamas issued </w:t>
      </w:r>
      <w:hyperlink r:id="rId27" w:history="1">
        <w:r w:rsidR="002B0F71" w:rsidRPr="003A4891">
          <w:rPr>
            <w:rStyle w:val="a5"/>
            <w:rFonts w:ascii="Arial" w:hAnsi="Arial" w:cs="Arial"/>
            <w:color w:val="E97132"/>
            <w:sz w:val="24"/>
            <w:szCs w:val="24"/>
          </w:rPr>
          <w:t>Public Notice No. 7 of 2026</w:t>
        </w:r>
      </w:hyperlink>
      <w:r w:rsidRPr="00A659F3">
        <w:rPr>
          <w:rFonts w:ascii="Arial" w:hAnsi="Arial" w:cs="Arial"/>
          <w:color w:val="000000"/>
          <w:sz w:val="24"/>
          <w:szCs w:val="24"/>
        </w:rPr>
        <w:t xml:space="preserve"> concerning DSJ Exchange PTY Ltd, BG Wealth Sharing LTD and "Professor Stephen Beard", none of whom are registered with or licensed by the Commission.</w:t>
      </w:r>
    </w:p>
    <w:p w14:paraId="7310D92A"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Commission demolishes the scheme's core legitimacy claim in one line: DSJ Exchange and BG Wealth Sharing point to a July 2025 SEC Form C filing as proof of "SEC status", but a Form C is only a notice of exempt crowdfunding offering — explicitly "not a license to operate a public exchange" — and the purported founder is "believed to be a fictional identity."</w:t>
      </w:r>
    </w:p>
    <w:p w14:paraId="68680449"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mechanics are a textbook engineered Ponzi: USDT-only investment in fixed tiers (500 to 5,000 tokens) promising 1.3%–2.6% daily returns and a guaranteed doubling after 55 days, with "trading signal codes" pushed through Telegram and WhatsApp into an app whose displayed earnings are fabricated per user, wrapped in a seven-rank MLM referral structure requiring five recruits per participant.</w:t>
      </w:r>
    </w:p>
    <w:p w14:paraId="7979513D"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Notice's real innovation is aggregation, not detection: it consolidates prior warnings from nine regulators across seven countries (The Bahamas, the UK FCA, Alberta, Utah, Washington State, British Columbia, New Zealand, Australia's ASIC and the Philippines) into one citable record — evidence that chat-app distribution and stablecoin settlement let this kind of scheme outrun any single regulator's warning system.</w:t>
      </w:r>
    </w:p>
    <w:p w14:paraId="3E2E8081"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Two Bahamian statutes are invoked together deliberately: the Financial Scheme designation under the FCSPA 2020 makes the operation unlawful and criminally prosecutable regardless of characterisation, while the Digital Assets and Registered Exchanges Act 2024 confirms the post-FTX Bahamian perimeter now tests any purported crypto exchange soliciting Bahamians against both the securities and digital asset regimes simultaneously — and this scheme fails both.</w:t>
      </w:r>
    </w:p>
    <w:p w14:paraId="1904AB8F"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 xml:space="preserve">The reusable red-flag checklist is the practical takeaway for compliance teams: guaranteed daily returns, stablecoin-only investment, chat-app-only onboarding, </w:t>
      </w:r>
      <w:r w:rsidRPr="00A659F3">
        <w:rPr>
          <w:rFonts w:ascii="Arial" w:hAnsi="Arial" w:cs="Arial"/>
          <w:color w:val="000000"/>
          <w:sz w:val="24"/>
          <w:szCs w:val="24"/>
        </w:rPr>
        <w:lastRenderedPageBreak/>
        <w:t>an app distributed outside official app stores, recruitment quotas, and regulatory claims resting on a filing rather than a licence — all verifiable in minutes through the Commission's public registrant search.</w:t>
      </w:r>
    </w:p>
    <w:p w14:paraId="1C51C0DB" w14:textId="28E91D48" w:rsidR="00A659F3" w:rsidRPr="00A659F3" w:rsidRDefault="00A659F3" w:rsidP="00A659F3">
      <w:pPr>
        <w:spacing w:after="240"/>
        <w:rPr>
          <w:rFonts w:ascii="Arial" w:hAnsi="Arial" w:cs="Arial"/>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28" w:history="1">
        <w:r w:rsidRPr="003A4891">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3A4D7F86" w14:textId="77777777" w:rsidR="0076560B" w:rsidRPr="00A659F3" w:rsidRDefault="0076560B" w:rsidP="0076560B">
      <w:pPr>
        <w:pStyle w:val="2"/>
        <w:spacing w:before="40" w:after="120"/>
        <w:jc w:val="both"/>
        <w:rPr>
          <w:rFonts w:ascii="Arial" w:hAnsi="Arial" w:cs="Arial"/>
          <w:b/>
          <w:bCs/>
          <w:color w:val="000000"/>
          <w:sz w:val="24"/>
          <w:szCs w:val="24"/>
        </w:rPr>
      </w:pPr>
    </w:p>
    <w:p w14:paraId="343B3CCC" w14:textId="55E12B78" w:rsidR="002B0F71" w:rsidRPr="00A659F3" w:rsidRDefault="00000000" w:rsidP="0076560B">
      <w:pPr>
        <w:pStyle w:val="2"/>
        <w:spacing w:before="40" w:after="120"/>
        <w:jc w:val="both"/>
        <w:rPr>
          <w:rFonts w:ascii="Arial" w:hAnsi="Arial" w:cs="Arial"/>
          <w:sz w:val="24"/>
          <w:szCs w:val="24"/>
        </w:rPr>
      </w:pPr>
      <w:r w:rsidRPr="00A659F3">
        <w:rPr>
          <w:rFonts w:ascii="Arial" w:hAnsi="Arial" w:cs="Arial"/>
          <w:b/>
          <w:bCs/>
          <w:color w:val="000000"/>
          <w:sz w:val="24"/>
          <w:szCs w:val="24"/>
        </w:rPr>
        <w:t>US SEC Market Data Shows 86% Rise in IPO Proceeds in First Quarter of 2026</w:t>
      </w:r>
    </w:p>
    <w:p w14:paraId="5F981C99" w14:textId="77777777" w:rsidR="002B0F71" w:rsidRPr="00A659F3" w:rsidRDefault="00000000" w:rsidP="0076560B">
      <w:pPr>
        <w:spacing w:after="160"/>
        <w:jc w:val="both"/>
        <w:rPr>
          <w:rFonts w:ascii="Arial" w:hAnsi="Arial" w:cs="Arial"/>
          <w:sz w:val="24"/>
          <w:szCs w:val="24"/>
        </w:rPr>
      </w:pPr>
      <w:r w:rsidRPr="00A659F3">
        <w:rPr>
          <w:rFonts w:ascii="Arial" w:hAnsi="Arial" w:cs="Arial"/>
          <w:color w:val="000000"/>
          <w:sz w:val="24"/>
          <w:szCs w:val="24"/>
        </w:rPr>
        <w:t xml:space="preserve">On 1 July 2026, the United States Securities and Exchange Commission (SEC) announced that its Division of Economic and Risk Analysis (DERA) had published </w:t>
      </w:r>
      <w:hyperlink r:id="rId29" w:history="1">
        <w:r w:rsidR="002B0F71" w:rsidRPr="003A4891">
          <w:rPr>
            <w:rStyle w:val="a5"/>
            <w:rFonts w:ascii="Arial" w:hAnsi="Arial" w:cs="Arial"/>
            <w:color w:val="E97132"/>
            <w:sz w:val="24"/>
            <w:szCs w:val="24"/>
          </w:rPr>
          <w:t>updated statistics and interactive data visualisations</w:t>
        </w:r>
      </w:hyperlink>
      <w:r w:rsidRPr="00A659F3">
        <w:rPr>
          <w:rFonts w:ascii="Arial" w:hAnsi="Arial" w:cs="Arial"/>
          <w:color w:val="000000"/>
          <w:sz w:val="24"/>
          <w:szCs w:val="24"/>
        </w:rPr>
        <w:t xml:space="preserve"> covering key areas of the United States capital markets.</w:t>
      </w:r>
    </w:p>
    <w:p w14:paraId="698E0627"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headline number undersells the shift: 99 IPOs raised over US$22 billion in Q1 2026 against 84 IPOs raising US$11.8 billion in Q1 2025 — an 18% rise in deal count but an 86% rise in proceeds, meaning materially larger issuers, not just more of them, are driving the recovery.</w:t>
      </w:r>
    </w:p>
    <w:p w14:paraId="088EE794"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Follow-on offerings moved too, if less dramatically: 264 offerings raised over US$44.2 billion, up from 250 offerings and US$40.4 billion a year earlier — a market recovering broadly rather than one driven by a handful of headline IPOs.</w:t>
      </w:r>
    </w:p>
    <w:p w14:paraId="6D56D156"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DERA's dataset is a genuine research tool, not a press release: it now covers asset-backed and commercial mortgage-backed securities issuance, Regulation D offerings, municipal advisors, transfer agents and security-based swap dealers, with new asset-backed-securities and municipal advisor visualisations added this update, all downloadable for independent analysis.</w:t>
      </w:r>
    </w:p>
    <w:p w14:paraId="36A9AF67"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regulatory subtext is the one issuers should not miss: better market data sharpens the SEC's own ability to spot unusual activity and structural risk, so a friendlier issuance window does not relax registration, disclosure, financial-statement or ongoing reporting obligations — market readiness and legal readiness need to arrive together.</w:t>
      </w:r>
    </w:p>
    <w:p w14:paraId="021B781C" w14:textId="5F32D4B1" w:rsidR="00A659F3" w:rsidRPr="00A659F3" w:rsidRDefault="00A659F3" w:rsidP="00A659F3">
      <w:pPr>
        <w:spacing w:after="240"/>
        <w:rPr>
          <w:rFonts w:ascii="Arial" w:hAnsi="Arial" w:cs="Arial"/>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30" w:history="1">
        <w:r w:rsidRPr="003A4891">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162122D9" w14:textId="77777777" w:rsidR="0076560B" w:rsidRPr="00A659F3" w:rsidRDefault="0076560B" w:rsidP="0076560B">
      <w:pPr>
        <w:pStyle w:val="2"/>
        <w:spacing w:before="40" w:after="120"/>
        <w:jc w:val="both"/>
        <w:rPr>
          <w:rFonts w:ascii="Arial" w:hAnsi="Arial" w:cs="Arial"/>
          <w:b/>
          <w:bCs/>
          <w:color w:val="000000"/>
          <w:sz w:val="24"/>
          <w:szCs w:val="24"/>
        </w:rPr>
      </w:pPr>
    </w:p>
    <w:p w14:paraId="67CEF699" w14:textId="4A2204DB" w:rsidR="002B0F71" w:rsidRPr="00A659F3" w:rsidRDefault="00000000" w:rsidP="0076560B">
      <w:pPr>
        <w:pStyle w:val="2"/>
        <w:spacing w:before="40" w:after="120"/>
        <w:jc w:val="both"/>
        <w:rPr>
          <w:rFonts w:ascii="Arial" w:hAnsi="Arial" w:cs="Arial"/>
          <w:sz w:val="24"/>
          <w:szCs w:val="24"/>
        </w:rPr>
      </w:pPr>
      <w:r w:rsidRPr="00A659F3">
        <w:rPr>
          <w:rFonts w:ascii="Arial" w:hAnsi="Arial" w:cs="Arial"/>
          <w:b/>
          <w:bCs/>
          <w:color w:val="000000"/>
          <w:sz w:val="24"/>
          <w:szCs w:val="24"/>
        </w:rPr>
        <w:t>California's Digital Financial Assets Law Takes Effect as Crypto Licensing Deadline Passes</w:t>
      </w:r>
    </w:p>
    <w:p w14:paraId="09D73469" w14:textId="77777777" w:rsidR="002B0F71" w:rsidRPr="00A659F3" w:rsidRDefault="00000000" w:rsidP="0076560B">
      <w:pPr>
        <w:spacing w:after="160"/>
        <w:jc w:val="both"/>
        <w:rPr>
          <w:rFonts w:ascii="Arial" w:hAnsi="Arial" w:cs="Arial"/>
          <w:sz w:val="24"/>
          <w:szCs w:val="24"/>
        </w:rPr>
      </w:pPr>
      <w:r w:rsidRPr="00A659F3">
        <w:rPr>
          <w:rFonts w:ascii="Arial" w:hAnsi="Arial" w:cs="Arial"/>
          <w:color w:val="000000"/>
          <w:sz w:val="24"/>
          <w:szCs w:val="24"/>
        </w:rPr>
        <w:t xml:space="preserve">On 1 July 2026, the licensing requirements under California's Digital Financial Assets Law (DFAL) took effect, requiring cryptoasset businesses conducting covered activities with or on behalf of California residents to hold a licence from the California Department of Financial Protection and Innovation (DFPI), have submitted a completed licence application, or fall within a statutory exemption, as confirmed on the DFPI's </w:t>
      </w:r>
      <w:hyperlink r:id="rId31" w:history="1">
        <w:r w:rsidR="002B0F71" w:rsidRPr="003A4891">
          <w:rPr>
            <w:rStyle w:val="a5"/>
            <w:rFonts w:ascii="Arial" w:hAnsi="Arial" w:cs="Arial"/>
            <w:color w:val="E97132"/>
            <w:sz w:val="24"/>
            <w:szCs w:val="24"/>
          </w:rPr>
          <w:t>Digital Financial Assets portal</w:t>
        </w:r>
      </w:hyperlink>
      <w:r w:rsidRPr="00A659F3">
        <w:rPr>
          <w:rFonts w:ascii="Arial" w:hAnsi="Arial" w:cs="Arial"/>
          <w:color w:val="000000"/>
          <w:sz w:val="24"/>
          <w:szCs w:val="24"/>
        </w:rPr>
        <w:t>.</w:t>
      </w:r>
    </w:p>
    <w:p w14:paraId="2002580B"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regime flips California crypto regulation from reactive enforcement to a live licensing gate: from 1 July 2026, a business may not conduct covered digital financial asset activity with California residents unless it holds a DFPI licence, has a complete application awaiting determination, or qualifies for an exemption — a partially completed Nationwide Multistate Licensing System filing does not satisfy that transitional condition.</w:t>
      </w:r>
    </w:p>
    <w:p w14:paraId="14F864CE"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lastRenderedPageBreak/>
        <w:t>Territorial reach is the trap for non-US firms: the DFAL applies to any business serving a California resident regardless of incorporation or physical presence, and "resident" extends to anyone physically present in California for more than 183 days in the preceding year — geolocation and customer-classification controls, not stated addresses, now determine exposure.</w:t>
      </w:r>
    </w:p>
    <w:p w14:paraId="183FFF44"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Licensing is a full fitness assessment, not a registration: the DFPI must be satisfied on financial condition, competence, character, and the applicant's capital, liquidity, custody, cybersecurity, AML and consumer-complaint arrangements before granting a licence, and continuing obligations (weekday live telephone support, stablecoin-specific safeguards, customer asset segregation) apply immediately on authorisation.</w:t>
      </w:r>
    </w:p>
    <w:p w14:paraId="6A3091AB"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DFAL deliberately does not swallow securities law: an asset that is a registered or exempt security falls outside the DFAL entirely, so classification must precede licensing analysis — a firm cannot assume an asset is DFAL-only without first ruling out securities treatment.</w:t>
      </w:r>
    </w:p>
    <w:p w14:paraId="64512F46"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Kiosk operators face a second, already-live layer under Senate Bill 401: a US$1,000 daily transaction cap and fee limits (the greater of US$5 or 15% of value) have applied since January 2025, and from 1 July 2026 kiosk operators must also hold the DFAL licence itself, remaining responsible for ensuring any third party providing services through their kiosks is properly licensed too.</w:t>
      </w:r>
    </w:p>
    <w:p w14:paraId="23FC7B87" w14:textId="5699B278" w:rsidR="00A659F3" w:rsidRPr="00A659F3" w:rsidRDefault="00A659F3" w:rsidP="00A659F3">
      <w:pPr>
        <w:spacing w:after="240"/>
        <w:rPr>
          <w:rFonts w:ascii="Arial" w:hAnsi="Arial" w:cs="Arial"/>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32" w:history="1">
        <w:r w:rsidRPr="003A4891">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65C588EE" w14:textId="77777777" w:rsidR="0076560B" w:rsidRPr="00A659F3" w:rsidRDefault="0076560B" w:rsidP="0076560B">
      <w:pPr>
        <w:pStyle w:val="2"/>
        <w:spacing w:before="40" w:after="120"/>
        <w:jc w:val="both"/>
        <w:rPr>
          <w:rFonts w:ascii="Arial" w:hAnsi="Arial" w:cs="Arial"/>
          <w:b/>
          <w:bCs/>
          <w:color w:val="000000"/>
          <w:sz w:val="24"/>
          <w:szCs w:val="24"/>
        </w:rPr>
      </w:pPr>
    </w:p>
    <w:p w14:paraId="3361ABE3" w14:textId="104297C8" w:rsidR="002B0F71" w:rsidRPr="00A659F3" w:rsidRDefault="00000000" w:rsidP="0076560B">
      <w:pPr>
        <w:pStyle w:val="2"/>
        <w:spacing w:before="40" w:after="120"/>
        <w:jc w:val="both"/>
        <w:rPr>
          <w:rFonts w:ascii="Arial" w:hAnsi="Arial" w:cs="Arial"/>
          <w:sz w:val="24"/>
          <w:szCs w:val="24"/>
        </w:rPr>
      </w:pPr>
      <w:r w:rsidRPr="00A659F3">
        <w:rPr>
          <w:rFonts w:ascii="Arial" w:hAnsi="Arial" w:cs="Arial"/>
          <w:b/>
          <w:bCs/>
          <w:color w:val="000000"/>
          <w:sz w:val="24"/>
          <w:szCs w:val="24"/>
        </w:rPr>
        <w:t>British Virgin Islands: FSC Confirms No Fees for 2026 Economic Substance Filings Through VIRRGIN, With a New Fee Regime to Follow in 2027 After Industry Consultation</w:t>
      </w:r>
    </w:p>
    <w:p w14:paraId="450BF4E9" w14:textId="77777777" w:rsidR="002B0F71" w:rsidRPr="00A659F3" w:rsidRDefault="00000000" w:rsidP="0076560B">
      <w:pPr>
        <w:spacing w:after="160"/>
        <w:jc w:val="both"/>
        <w:rPr>
          <w:rFonts w:ascii="Arial" w:hAnsi="Arial" w:cs="Arial"/>
          <w:sz w:val="24"/>
          <w:szCs w:val="24"/>
        </w:rPr>
      </w:pPr>
      <w:r w:rsidRPr="00A659F3">
        <w:rPr>
          <w:rFonts w:ascii="Arial" w:hAnsi="Arial" w:cs="Arial"/>
          <w:color w:val="000000"/>
          <w:sz w:val="24"/>
          <w:szCs w:val="24"/>
        </w:rPr>
        <w:t xml:space="preserve">On 1 July 2026, the BVI Financial Services Commission issued </w:t>
      </w:r>
      <w:hyperlink r:id="rId33" w:history="1">
        <w:r w:rsidR="002B0F71" w:rsidRPr="003A4891">
          <w:rPr>
            <w:rStyle w:val="a5"/>
            <w:rFonts w:ascii="Arial" w:hAnsi="Arial" w:cs="Arial"/>
            <w:color w:val="E97132"/>
            <w:sz w:val="24"/>
            <w:szCs w:val="24"/>
          </w:rPr>
          <w:t>Industry Circular 20 of 2026</w:t>
        </w:r>
      </w:hyperlink>
      <w:r w:rsidRPr="00A659F3">
        <w:rPr>
          <w:rFonts w:ascii="Arial" w:hAnsi="Arial" w:cs="Arial"/>
          <w:color w:val="000000"/>
          <w:sz w:val="24"/>
          <w:szCs w:val="24"/>
        </w:rPr>
        <w:t>, confirming that no fees will be implemented for 2026 economic substance filings made through VIRRGIN, with a new fee regime for 2027 to follow industry consultation.</w:t>
      </w:r>
    </w:p>
    <w:p w14:paraId="76BF797D"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net position is genuinely favourable and easy to miss: the old BOSS subscription fee is abolished and the new VIRRGIN fee regime is deferred to 2027, so 2026 economic substance filings are free — but only the cost changes, not the obligation; classification, substance analysis and filing deadlines are entirely untouched.</w:t>
      </w:r>
    </w:p>
    <w:p w14:paraId="2AA4B15D"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This completes a staged migration rather than announcing something new: filing moved from BOSS to VIRRGIN as flagged at the December 2025 webinar and February 2026 Industry Update, and Circular 20 of 2026 simply confirms the platform transition is complete and the fee question is deferred.</w:t>
      </w:r>
    </w:p>
    <w:p w14:paraId="0B35077E"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Registered agents are the practical bottleneck to watch: since VIRRGIN is now the sole filing channel, agents handling BVI holding companies, token-issuing vehicles and fund structures should confirm their platform access and processes are settled well before the normal statutory filing timetable.</w:t>
      </w:r>
    </w:p>
    <w:p w14:paraId="0C6D23ED"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2027 consultation is the item actually worth engaging with: a fee consultation for VIRRGIN filings is, in substance, a consultation on the ongoing cost of maintaining BVI vehicles, and groups running large entity portfolios should participate in shaping it rather than discover the pricing once it is already set.</w:t>
      </w:r>
    </w:p>
    <w:p w14:paraId="10FDE7C1" w14:textId="4B18518F" w:rsidR="00A659F3" w:rsidRPr="00A659F3" w:rsidRDefault="00A659F3" w:rsidP="00A659F3">
      <w:pPr>
        <w:spacing w:after="240"/>
        <w:rPr>
          <w:rFonts w:ascii="Arial" w:hAnsi="Arial" w:cs="Arial"/>
          <w:color w:val="000000" w:themeColor="text1"/>
          <w:sz w:val="24"/>
          <w:szCs w:val="24"/>
        </w:rPr>
      </w:pPr>
      <w:r w:rsidRPr="00A659F3">
        <w:rPr>
          <w:rFonts w:ascii="Arial" w:hAnsi="Arial" w:cs="Arial"/>
          <w:i/>
          <w:iCs/>
          <w:color w:val="000000" w:themeColor="text1"/>
          <w:sz w:val="24"/>
          <w:szCs w:val="24"/>
        </w:rPr>
        <w:lastRenderedPageBreak/>
        <w:t>(Source:</w:t>
      </w:r>
      <w:r w:rsidRPr="00A659F3">
        <w:rPr>
          <w:rFonts w:ascii="Arial" w:hAnsi="Arial" w:cs="Arial"/>
          <w:i/>
          <w:iCs/>
          <w:color w:val="E97132"/>
          <w:sz w:val="24"/>
          <w:szCs w:val="24"/>
        </w:rPr>
        <w:t xml:space="preserve"> </w:t>
      </w:r>
      <w:hyperlink r:id="rId34" w:history="1">
        <w:r w:rsidRPr="003A4891">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21E3E15B" w14:textId="77777777" w:rsidR="0076560B" w:rsidRPr="00A659F3" w:rsidRDefault="0076560B" w:rsidP="0076560B">
      <w:pPr>
        <w:pStyle w:val="2"/>
        <w:spacing w:before="40" w:after="120"/>
        <w:jc w:val="both"/>
        <w:rPr>
          <w:rFonts w:ascii="Arial" w:hAnsi="Arial" w:cs="Arial"/>
          <w:b/>
          <w:bCs/>
          <w:color w:val="000000"/>
          <w:sz w:val="24"/>
          <w:szCs w:val="24"/>
        </w:rPr>
      </w:pPr>
    </w:p>
    <w:p w14:paraId="6EB2EA29" w14:textId="77777777" w:rsidR="0076560B" w:rsidRPr="00A659F3" w:rsidRDefault="0076560B" w:rsidP="0076560B">
      <w:pPr>
        <w:pStyle w:val="2"/>
        <w:spacing w:before="40" w:after="120"/>
        <w:jc w:val="both"/>
        <w:rPr>
          <w:rFonts w:ascii="Arial" w:hAnsi="Arial" w:cs="Arial"/>
          <w:sz w:val="24"/>
          <w:szCs w:val="24"/>
        </w:rPr>
      </w:pPr>
      <w:r w:rsidRPr="00A659F3">
        <w:rPr>
          <w:rFonts w:ascii="Arial" w:hAnsi="Arial" w:cs="Arial"/>
          <w:b/>
          <w:bCs/>
          <w:color w:val="000000"/>
          <w:sz w:val="24"/>
          <w:szCs w:val="24"/>
        </w:rPr>
        <w:t>Australia: ASIC's Financial Markets and Innovation Roundtable and Report 835 Chart a Tokenisation and AI Reform Path for Capital Markets — With Hong Kong Cited as a Regulatory Benchmark</w:t>
      </w:r>
    </w:p>
    <w:p w14:paraId="60CE1856" w14:textId="77777777" w:rsidR="0076560B" w:rsidRPr="00A659F3" w:rsidRDefault="0076560B" w:rsidP="0076560B">
      <w:pPr>
        <w:spacing w:after="160"/>
        <w:jc w:val="both"/>
        <w:rPr>
          <w:rFonts w:ascii="Arial" w:hAnsi="Arial" w:cs="Arial"/>
          <w:sz w:val="24"/>
          <w:szCs w:val="24"/>
        </w:rPr>
      </w:pPr>
      <w:r w:rsidRPr="00A659F3">
        <w:rPr>
          <w:rFonts w:ascii="Arial" w:hAnsi="Arial" w:cs="Arial"/>
          <w:color w:val="000000"/>
          <w:sz w:val="24"/>
          <w:szCs w:val="24"/>
        </w:rPr>
        <w:t xml:space="preserve">On 30 June 2026, the Australian Securities and Investments Commission (ASIC) published </w:t>
      </w:r>
      <w:hyperlink r:id="rId35" w:history="1">
        <w:r w:rsidRPr="003A4891">
          <w:rPr>
            <w:rStyle w:val="a5"/>
            <w:rFonts w:ascii="Arial" w:hAnsi="Arial" w:cs="Arial"/>
            <w:color w:val="E97132"/>
            <w:sz w:val="24"/>
            <w:szCs w:val="24"/>
          </w:rPr>
          <w:t>Report 835, Innovation in Financial Markets and Financial Market Infrastructure – A Landscape Review</w:t>
        </w:r>
      </w:hyperlink>
      <w:r w:rsidRPr="00A659F3">
        <w:rPr>
          <w:rFonts w:ascii="Arial" w:hAnsi="Arial" w:cs="Arial"/>
          <w:color w:val="000000"/>
          <w:sz w:val="24"/>
          <w:szCs w:val="24"/>
        </w:rPr>
        <w:t>, and on 17 July 2026 published a follow-on summary setting out four themes arising from its Financial Markets and Innovation Roundtable of thirty-two industry, academic and public-sector participants.</w:t>
      </w:r>
    </w:p>
    <w:p w14:paraId="5D88753B" w14:textId="77777777" w:rsidR="0076560B" w:rsidRPr="00A659F3" w:rsidRDefault="0076560B"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document is diagnostic, not binding: Report 835 and the 17 July 2026 follow-on summary create no new Australian obligations, but they signal where ASIC's future rulemaking and enforcement attention is heading — and the Report uses Hong Kong as one of its principal comparative benchmarks throughout.</w:t>
      </w:r>
    </w:p>
    <w:p w14:paraId="5706380A" w14:textId="77777777" w:rsidR="0076560B" w:rsidRPr="00A659F3" w:rsidRDefault="0076560B"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Tokenisation's benefits are treated as conditional, not automatic: Roundtable participants described reduced intermediation and atomic settlement as "likely contingent" on a proper settlement asset (a CBDC or regulated stablecoin) existing alongside the token layer — jurisdictions that have already legislated stablecoin regimes, Hong Kong's Stablecoins Ordinance among them, are positioned as better placed to realise those benefits than those still settling on-chain in commercial bank money.</w:t>
      </w:r>
    </w:p>
    <w:p w14:paraId="24A0CF25" w14:textId="77777777" w:rsidR="0076560B" w:rsidRPr="00A659F3" w:rsidRDefault="0076560B"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Hong Kong appears repeatedly as the reference model, not incidental colour: the Report cites HKEX's Synapse settlement platform, the HKMA's Project Ensemble tokenisation sandbox (paired with Singapore's Project Guardian as the two principal Asian sandbox models), Hong Kong's HK$10 billion sovereign digital green bond programme, and its 2025 T+1 settlement consultation — treating Hong Kong's licensing-led, sandbox-based model as an international leading indicator rather than an outlier.</w:t>
      </w:r>
    </w:p>
    <w:p w14:paraId="48378D6A" w14:textId="77777777" w:rsidR="0076560B" w:rsidRPr="00A659F3" w:rsidRDefault="0076560B"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ASIC's four forward priorities read as a checklist against which Hong Kong already has a live analogue: comparable sandbox/pilot infrastructure, review of retail investor protection categories for tokenised and gamified products, supervisory capability for AI-driven trading (including concentration risk from shared AI models and cloud providers), and standing cross-regulator coordination — firms with dual Australia-Hong Kong exposure should expect the two regulators' agendas to converge further over the next 12–24 months.</w:t>
      </w:r>
    </w:p>
    <w:p w14:paraId="16390695" w14:textId="77777777" w:rsidR="0076560B" w:rsidRPr="00A659F3" w:rsidRDefault="0076560B"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practical read for Hong Kong-based and dual-exposure firms is that regulatory momentum now carries reputational weight beyond the domestic market: delay on Hong Kong's pending first tranche of stablecoin licences or its T+1 transition is being benchmarked internationally, and AI governance plus cross-border retail distribution are flagged as the two areas most likely to tighten first across comparable jurisdictions.</w:t>
      </w:r>
    </w:p>
    <w:p w14:paraId="6D8FB14A" w14:textId="05A3A1D0" w:rsidR="00A659F3" w:rsidRPr="00A659F3" w:rsidRDefault="00A659F3" w:rsidP="00A659F3">
      <w:pPr>
        <w:spacing w:after="240"/>
        <w:rPr>
          <w:rFonts w:ascii="Arial" w:hAnsi="Arial" w:cs="Arial"/>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36" w:history="1">
        <w:r w:rsidRPr="003A4891">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158D744A" w14:textId="77777777" w:rsidR="0076560B" w:rsidRPr="00A659F3" w:rsidRDefault="0076560B" w:rsidP="0076560B">
      <w:pPr>
        <w:pStyle w:val="2"/>
        <w:spacing w:before="40" w:after="120"/>
        <w:jc w:val="both"/>
        <w:rPr>
          <w:rFonts w:ascii="Arial" w:hAnsi="Arial" w:cs="Arial"/>
          <w:b/>
          <w:bCs/>
          <w:color w:val="000000"/>
          <w:sz w:val="24"/>
          <w:szCs w:val="24"/>
        </w:rPr>
      </w:pPr>
    </w:p>
    <w:p w14:paraId="0BDC36CA" w14:textId="3E491A94" w:rsidR="002B0F71" w:rsidRPr="00A659F3" w:rsidRDefault="00000000" w:rsidP="0076560B">
      <w:pPr>
        <w:pStyle w:val="2"/>
        <w:spacing w:before="40" w:after="120"/>
        <w:jc w:val="both"/>
        <w:rPr>
          <w:rFonts w:ascii="Arial" w:hAnsi="Arial" w:cs="Arial"/>
          <w:sz w:val="24"/>
          <w:szCs w:val="24"/>
        </w:rPr>
      </w:pPr>
      <w:r w:rsidRPr="00A659F3">
        <w:rPr>
          <w:rFonts w:ascii="Arial" w:hAnsi="Arial" w:cs="Arial"/>
          <w:b/>
          <w:bCs/>
          <w:color w:val="000000"/>
          <w:sz w:val="24"/>
          <w:szCs w:val="24"/>
        </w:rPr>
        <w:t>United Kingdom FCA Outlines AI-First Regulatory Strategy for Financial Services and Tokenised Markets</w:t>
      </w:r>
    </w:p>
    <w:p w14:paraId="1A2E9C08" w14:textId="77777777" w:rsidR="002B0F71" w:rsidRPr="00A659F3" w:rsidRDefault="00000000" w:rsidP="0076560B">
      <w:pPr>
        <w:spacing w:after="160"/>
        <w:jc w:val="both"/>
        <w:rPr>
          <w:rFonts w:ascii="Arial" w:hAnsi="Arial" w:cs="Arial"/>
          <w:sz w:val="24"/>
          <w:szCs w:val="24"/>
        </w:rPr>
      </w:pPr>
      <w:r w:rsidRPr="00A659F3">
        <w:rPr>
          <w:rFonts w:ascii="Arial" w:hAnsi="Arial" w:cs="Arial"/>
          <w:color w:val="000000"/>
          <w:sz w:val="24"/>
          <w:szCs w:val="24"/>
        </w:rPr>
        <w:lastRenderedPageBreak/>
        <w:t xml:space="preserve">On 24 June 2026, United Kingdom Financial Conduct Authority (FCA) Chief Executive Nikhil Rathi set out the regulator's evolving approach to artificial intelligence, agentic finance, tokenisation and financial market resilience in a keynote address at </w:t>
      </w:r>
      <w:proofErr w:type="spellStart"/>
      <w:r w:rsidRPr="00A659F3">
        <w:rPr>
          <w:rFonts w:ascii="Arial" w:hAnsi="Arial" w:cs="Arial"/>
          <w:color w:val="000000"/>
          <w:sz w:val="24"/>
          <w:szCs w:val="24"/>
        </w:rPr>
        <w:t>techUK's</w:t>
      </w:r>
      <w:proofErr w:type="spellEnd"/>
      <w:r w:rsidRPr="00A659F3">
        <w:rPr>
          <w:rFonts w:ascii="Arial" w:hAnsi="Arial" w:cs="Arial"/>
          <w:color w:val="000000"/>
          <w:sz w:val="24"/>
          <w:szCs w:val="24"/>
        </w:rPr>
        <w:t xml:space="preserve"> </w:t>
      </w:r>
      <w:hyperlink r:id="rId37" w:history="1">
        <w:r w:rsidR="002B0F71" w:rsidRPr="003A4891">
          <w:rPr>
            <w:rStyle w:val="a5"/>
            <w:rFonts w:ascii="Arial" w:hAnsi="Arial" w:cs="Arial"/>
            <w:color w:val="E97132"/>
            <w:sz w:val="24"/>
            <w:szCs w:val="24"/>
          </w:rPr>
          <w:t>Agents of Change: Generative and Agentic AI in Financial Services 2026</w:t>
        </w:r>
      </w:hyperlink>
      <w:r w:rsidRPr="00A659F3">
        <w:rPr>
          <w:rFonts w:ascii="Arial" w:hAnsi="Arial" w:cs="Arial"/>
          <w:color w:val="000000"/>
          <w:sz w:val="24"/>
          <w:szCs w:val="24"/>
        </w:rPr>
        <w:t>.</w:t>
      </w:r>
    </w:p>
    <w:p w14:paraId="09249EAD"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Mr Rathi's central claim is that "legislation will not keep pace" with AI development — an explicit admission that the FCA is moving away from prescriptive rulemaking toward supervision built on competition, system-wide oversight and regulatory collaboration, with more than 80% of financial firms already using AI in some form.</w:t>
      </w:r>
    </w:p>
    <w:p w14:paraId="5CE7F610"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Agentic AI is treated as qualitatively different from generative AI: where generative tools summarise and analyse, agentic systems are expected to coordinate decisions and execute transactions autonomously — the FCA is explicit that accountability for regulated activities stays with the authorised firm regardless of how much of the workflow an agent runs.</w:t>
      </w:r>
    </w:p>
    <w:p w14:paraId="49D7ABE3"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Tokenisation gets a concrete proof point rather than a policy aspiration: the FCA's approval of the UK's first natively tokenised authorised fund (Baillie Gifford, with Bank of New York Mellon) is cited directly, alongside an active Call for Input with the Bank of England on tokenised wholesale markets that firms can still respond to.</w:t>
      </w:r>
    </w:p>
    <w:p w14:paraId="71EA08C4"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Third-party and cloud dependency is flagged as the sleeper risk: technology and cyber incidents accounted for roughly 98% of operational incidents reported to the FCA in the prior year, and firms should expect closer scrutiny under the UK's Critical Third Parties regime as a direct consequence.</w:t>
      </w:r>
    </w:p>
    <w:p w14:paraId="3A5F3739" w14:textId="77777777" w:rsidR="002B0F71" w:rsidRPr="00A659F3" w:rsidRDefault="00000000" w:rsidP="0076560B">
      <w:pPr>
        <w:pStyle w:val="a4"/>
        <w:numPr>
          <w:ilvl w:val="0"/>
          <w:numId w:val="2"/>
        </w:numPr>
        <w:spacing w:after="100"/>
        <w:jc w:val="both"/>
        <w:rPr>
          <w:rFonts w:ascii="Arial" w:hAnsi="Arial" w:cs="Arial"/>
          <w:sz w:val="24"/>
          <w:szCs w:val="24"/>
        </w:rPr>
      </w:pPr>
      <w:r w:rsidRPr="00A659F3">
        <w:rPr>
          <w:rFonts w:ascii="Arial" w:hAnsi="Arial" w:cs="Arial"/>
          <w:color w:val="000000"/>
          <w:sz w:val="24"/>
          <w:szCs w:val="24"/>
        </w:rPr>
        <w:t>The FCA is notably turning AI on itself: it confirmed it is exploring agentic AI as a "first responder" for wholesale market surveillance, and flagged further publications this year, including AI good/poor practice guidance and the Mills Review on AI in retail financial services.</w:t>
      </w:r>
    </w:p>
    <w:p w14:paraId="3AC532D5" w14:textId="7A96D0B7" w:rsidR="00A659F3" w:rsidRPr="00A659F3" w:rsidRDefault="00A659F3" w:rsidP="00A659F3">
      <w:pPr>
        <w:spacing w:after="240"/>
        <w:rPr>
          <w:rFonts w:ascii="Arial" w:hAnsi="Arial" w:cs="Arial"/>
          <w:i/>
          <w:iCs/>
          <w:color w:val="000000" w:themeColor="text1"/>
          <w:sz w:val="24"/>
          <w:szCs w:val="24"/>
        </w:rPr>
      </w:pPr>
      <w:r w:rsidRPr="00A659F3">
        <w:rPr>
          <w:rFonts w:ascii="Arial" w:hAnsi="Arial" w:cs="Arial"/>
          <w:i/>
          <w:iCs/>
          <w:color w:val="000000" w:themeColor="text1"/>
          <w:sz w:val="24"/>
          <w:szCs w:val="24"/>
        </w:rPr>
        <w:t>(Source:</w:t>
      </w:r>
      <w:r w:rsidRPr="00A659F3">
        <w:rPr>
          <w:rFonts w:ascii="Arial" w:hAnsi="Arial" w:cs="Arial"/>
          <w:i/>
          <w:iCs/>
          <w:color w:val="E97132"/>
          <w:sz w:val="24"/>
          <w:szCs w:val="24"/>
        </w:rPr>
        <w:t xml:space="preserve"> </w:t>
      </w:r>
      <w:hyperlink r:id="rId38" w:history="1">
        <w:r w:rsidRPr="003A4891">
          <w:rPr>
            <w:rStyle w:val="a5"/>
            <w:rFonts w:ascii="Arial" w:hAnsi="Arial" w:cs="Arial"/>
            <w:color w:val="E97132"/>
            <w:sz w:val="24"/>
            <w:szCs w:val="24"/>
          </w:rPr>
          <w:t>https://charltonsquantum.com/</w:t>
        </w:r>
      </w:hyperlink>
      <w:r w:rsidRPr="00A659F3">
        <w:rPr>
          <w:rFonts w:ascii="Arial" w:hAnsi="Arial" w:cs="Arial"/>
          <w:i/>
          <w:iCs/>
          <w:color w:val="000000" w:themeColor="text1"/>
          <w:sz w:val="24"/>
          <w:szCs w:val="24"/>
        </w:rPr>
        <w:t>)</w:t>
      </w:r>
    </w:p>
    <w:p w14:paraId="494D2882" w14:textId="77777777" w:rsidR="00A659F3" w:rsidRPr="00A659F3" w:rsidRDefault="00A659F3" w:rsidP="00A659F3">
      <w:pPr>
        <w:spacing w:after="240"/>
        <w:rPr>
          <w:rFonts w:ascii="Arial" w:hAnsi="Arial" w:cs="Arial"/>
          <w:i/>
          <w:iCs/>
          <w:color w:val="000000" w:themeColor="text1"/>
          <w:sz w:val="24"/>
          <w:szCs w:val="24"/>
        </w:rPr>
      </w:pPr>
    </w:p>
    <w:p w14:paraId="1E777EA1" w14:textId="77777777" w:rsidR="00A659F3" w:rsidRPr="00A659F3" w:rsidRDefault="00A659F3" w:rsidP="00A659F3">
      <w:pPr>
        <w:spacing w:after="240"/>
        <w:rPr>
          <w:rFonts w:ascii="Arial" w:hAnsi="Arial" w:cs="Arial"/>
          <w:i/>
          <w:iCs/>
          <w:color w:val="000000" w:themeColor="text1"/>
          <w:sz w:val="24"/>
          <w:szCs w:val="24"/>
        </w:rPr>
      </w:pPr>
    </w:p>
    <w:p w14:paraId="1703F027" w14:textId="77777777" w:rsidR="00A659F3" w:rsidRPr="00A659F3" w:rsidRDefault="00A659F3" w:rsidP="00A659F3">
      <w:pPr>
        <w:spacing w:after="240"/>
        <w:rPr>
          <w:rFonts w:ascii="Arial" w:hAnsi="Arial" w:cs="Arial"/>
          <w:i/>
          <w:iCs/>
          <w:color w:val="000000" w:themeColor="text1"/>
          <w:sz w:val="24"/>
          <w:szCs w:val="24"/>
        </w:rPr>
      </w:pPr>
    </w:p>
    <w:p w14:paraId="3CD6CE96" w14:textId="77777777" w:rsidR="00A659F3" w:rsidRPr="00A659F3" w:rsidRDefault="00A659F3" w:rsidP="00A659F3">
      <w:pPr>
        <w:spacing w:after="240"/>
        <w:rPr>
          <w:rFonts w:ascii="Arial" w:hAnsi="Arial" w:cs="Arial"/>
          <w:i/>
          <w:iCs/>
          <w:color w:val="000000" w:themeColor="text1"/>
          <w:sz w:val="24"/>
          <w:szCs w:val="24"/>
        </w:rPr>
      </w:pPr>
    </w:p>
    <w:p w14:paraId="4221F0AE" w14:textId="77777777" w:rsidR="00A659F3" w:rsidRDefault="00A659F3" w:rsidP="00A659F3">
      <w:pPr>
        <w:spacing w:after="240"/>
        <w:rPr>
          <w:rFonts w:ascii="Arial" w:hAnsi="Arial" w:cs="Arial"/>
          <w:i/>
          <w:iCs/>
          <w:color w:val="000000" w:themeColor="text1"/>
          <w:sz w:val="24"/>
          <w:szCs w:val="24"/>
        </w:rPr>
      </w:pPr>
    </w:p>
    <w:p w14:paraId="0C0E06C0" w14:textId="77777777" w:rsidR="00A659F3" w:rsidRDefault="00A659F3" w:rsidP="00A659F3">
      <w:pPr>
        <w:spacing w:after="240"/>
        <w:rPr>
          <w:rFonts w:ascii="Arial" w:hAnsi="Arial" w:cs="Arial"/>
          <w:i/>
          <w:iCs/>
          <w:color w:val="000000" w:themeColor="text1"/>
          <w:sz w:val="24"/>
          <w:szCs w:val="24"/>
        </w:rPr>
      </w:pPr>
    </w:p>
    <w:p w14:paraId="6F504DED" w14:textId="77777777" w:rsidR="00A659F3" w:rsidRDefault="00A659F3" w:rsidP="00A659F3">
      <w:pPr>
        <w:spacing w:after="240"/>
        <w:rPr>
          <w:rFonts w:ascii="Arial" w:hAnsi="Arial" w:cs="Arial"/>
          <w:i/>
          <w:iCs/>
          <w:color w:val="000000" w:themeColor="text1"/>
          <w:sz w:val="24"/>
          <w:szCs w:val="24"/>
        </w:rPr>
      </w:pPr>
    </w:p>
    <w:p w14:paraId="4EB1E1B0" w14:textId="77777777" w:rsidR="00A659F3" w:rsidRPr="00A659F3" w:rsidRDefault="00A659F3" w:rsidP="00A659F3">
      <w:pPr>
        <w:spacing w:after="240"/>
        <w:rPr>
          <w:rFonts w:ascii="Arial" w:hAnsi="Arial" w:cs="Arial"/>
          <w:i/>
          <w:iCs/>
          <w:color w:val="000000" w:themeColor="text1"/>
          <w:sz w:val="24"/>
          <w:szCs w:val="24"/>
        </w:rPr>
      </w:pPr>
    </w:p>
    <w:p w14:paraId="4AC3270F" w14:textId="77777777" w:rsidR="00A659F3" w:rsidRPr="00A659F3" w:rsidRDefault="00A659F3" w:rsidP="00A659F3">
      <w:pPr>
        <w:spacing w:after="240"/>
        <w:rPr>
          <w:rFonts w:ascii="Arial" w:hAnsi="Arial" w:cs="Arial"/>
          <w:i/>
          <w:iCs/>
          <w:color w:val="000000" w:themeColor="text1"/>
          <w:sz w:val="24"/>
          <w:szCs w:val="24"/>
        </w:rPr>
      </w:pPr>
    </w:p>
    <w:p w14:paraId="0BB94ECB" w14:textId="77777777" w:rsidR="00A659F3" w:rsidRPr="00A659F3" w:rsidRDefault="00A659F3" w:rsidP="00A659F3">
      <w:pPr>
        <w:spacing w:after="240"/>
        <w:rPr>
          <w:rFonts w:ascii="Arial" w:hAnsi="Arial" w:cs="Arial"/>
          <w:i/>
          <w:iCs/>
          <w:color w:val="000000" w:themeColor="text1"/>
          <w:sz w:val="24"/>
          <w:szCs w:val="24"/>
        </w:rPr>
      </w:pPr>
    </w:p>
    <w:p w14:paraId="4BCE4CEC" w14:textId="77777777" w:rsidR="00A659F3" w:rsidRPr="00A659F3" w:rsidRDefault="00A659F3" w:rsidP="00A659F3">
      <w:pPr>
        <w:rPr>
          <w:rFonts w:ascii="Arial" w:hAnsi="Arial" w:cs="Arial"/>
          <w:b/>
          <w:color w:val="00000A"/>
          <w:sz w:val="24"/>
          <w:szCs w:val="24"/>
        </w:rPr>
      </w:pPr>
      <w:r w:rsidRPr="00A659F3">
        <w:rPr>
          <w:rFonts w:ascii="Arial" w:hAnsi="Arial" w:cs="Arial"/>
          <w:b/>
          <w:color w:val="00000A"/>
          <w:sz w:val="24"/>
          <w:szCs w:val="24"/>
        </w:rPr>
        <w:lastRenderedPageBreak/>
        <w:t>This newsletter is for information purposes only.</w:t>
      </w:r>
    </w:p>
    <w:p w14:paraId="4469E1CF" w14:textId="77777777" w:rsidR="00A659F3" w:rsidRPr="00A659F3" w:rsidRDefault="00A659F3" w:rsidP="00A659F3">
      <w:pPr>
        <w:pBdr>
          <w:top w:val="single" w:sz="4" w:space="1" w:color="000001"/>
          <w:left w:val="single" w:sz="4" w:space="1" w:color="000001"/>
          <w:bottom w:val="single" w:sz="4" w:space="1" w:color="000001"/>
          <w:right w:val="single" w:sz="4" w:space="1" w:color="000001"/>
          <w:between w:val="nil"/>
        </w:pBdr>
        <w:shd w:val="clear" w:color="auto" w:fill="DDDDDD"/>
        <w:spacing w:before="101" w:after="101"/>
        <w:jc w:val="both"/>
        <w:rPr>
          <w:rFonts w:ascii="Arial" w:hAnsi="Arial" w:cs="Arial"/>
          <w:color w:val="00000A"/>
          <w:sz w:val="24"/>
          <w:szCs w:val="24"/>
        </w:rPr>
      </w:pPr>
      <w:r w:rsidRPr="00A659F3">
        <w:rPr>
          <w:rFonts w:ascii="Arial" w:hAnsi="Arial" w:cs="Arial"/>
          <w:color w:val="00000A"/>
          <w:sz w:val="24"/>
          <w:szCs w:val="24"/>
        </w:rPr>
        <w:t>This newsletter and the information contained herein is not intended to be a source of advice or credit analysis with respect to the material presented, and the information and/or documents contained in this newsletter do not constitute investment advice.</w:t>
      </w:r>
    </w:p>
    <w:p w14:paraId="2D08A781" w14:textId="77777777" w:rsidR="00A659F3" w:rsidRPr="00A659F3" w:rsidRDefault="00A659F3" w:rsidP="00A659F3">
      <w:pPr>
        <w:pBdr>
          <w:top w:val="single" w:sz="4" w:space="1" w:color="000001"/>
          <w:left w:val="single" w:sz="4" w:space="1" w:color="000001"/>
          <w:bottom w:val="single" w:sz="4" w:space="1" w:color="000001"/>
          <w:right w:val="single" w:sz="4" w:space="1" w:color="000001"/>
          <w:between w:val="nil"/>
        </w:pBdr>
        <w:shd w:val="clear" w:color="auto" w:fill="DDDDDD"/>
        <w:spacing w:before="101" w:after="101"/>
        <w:jc w:val="both"/>
        <w:rPr>
          <w:rFonts w:ascii="Arial" w:hAnsi="Arial" w:cs="Arial"/>
          <w:color w:val="00000A"/>
          <w:sz w:val="24"/>
          <w:szCs w:val="24"/>
        </w:rPr>
      </w:pPr>
      <w:r w:rsidRPr="00A659F3">
        <w:rPr>
          <w:rFonts w:ascii="Arial" w:hAnsi="Arial" w:cs="Arial"/>
          <w:color w:val="00000A"/>
          <w:sz w:val="24"/>
          <w:szCs w:val="24"/>
        </w:rPr>
        <w:t>Cryptocurrency markets are highly volatile and speculative in nature. The value of cryptocurrencies can fluctuate greatly within a short period of time. Investing in cryptocurrencies carries significant risks of loss. You should only invest what you are prepared to lose.</w:t>
      </w:r>
    </w:p>
    <w:p w14:paraId="400EC985" w14:textId="77777777" w:rsidR="00A659F3" w:rsidRPr="00A659F3" w:rsidRDefault="00A659F3" w:rsidP="00A659F3">
      <w:pPr>
        <w:pBdr>
          <w:top w:val="single" w:sz="4" w:space="1" w:color="000001"/>
          <w:left w:val="single" w:sz="4" w:space="1" w:color="000001"/>
          <w:bottom w:val="single" w:sz="4" w:space="1" w:color="000001"/>
          <w:right w:val="single" w:sz="4" w:space="1" w:color="000001"/>
          <w:between w:val="nil"/>
        </w:pBdr>
        <w:shd w:val="clear" w:color="auto" w:fill="DDDDDD"/>
        <w:spacing w:before="101" w:after="101"/>
        <w:jc w:val="both"/>
        <w:rPr>
          <w:rFonts w:ascii="Arial" w:hAnsi="Arial" w:cs="Arial"/>
          <w:color w:val="00000A"/>
          <w:sz w:val="24"/>
          <w:szCs w:val="24"/>
        </w:rPr>
      </w:pPr>
      <w:r w:rsidRPr="00A659F3">
        <w:rPr>
          <w:rFonts w:ascii="Arial" w:hAnsi="Arial" w:cs="Arial"/>
          <w:color w:val="00000A"/>
          <w:sz w:val="24"/>
          <w:szCs w:val="24"/>
        </w:rPr>
        <w:t>The content on this newsletter is for informational purposes only. You should not construe any such information or other material as legal, tax, investment, financial, or other advice. Nothing contained on our newsletter constitutes a solicitation, recommendation, endorsement, or offer to buy or sell any cryptocurrencies, securities, or other financial instruments.</w:t>
      </w:r>
    </w:p>
    <w:p w14:paraId="1255BC00" w14:textId="77777777" w:rsidR="00A659F3" w:rsidRPr="00A659F3" w:rsidRDefault="00A659F3" w:rsidP="00A659F3">
      <w:pPr>
        <w:pBdr>
          <w:top w:val="single" w:sz="4" w:space="1" w:color="000001"/>
          <w:left w:val="single" w:sz="4" w:space="1" w:color="000001"/>
          <w:bottom w:val="single" w:sz="4" w:space="1" w:color="000001"/>
          <w:right w:val="single" w:sz="4" w:space="1" w:color="000001"/>
          <w:between w:val="nil"/>
        </w:pBdr>
        <w:shd w:val="clear" w:color="auto" w:fill="DDDDDD"/>
        <w:spacing w:before="101" w:after="101"/>
        <w:jc w:val="both"/>
        <w:rPr>
          <w:rFonts w:ascii="Arial" w:hAnsi="Arial" w:cs="Arial"/>
          <w:color w:val="00000A"/>
          <w:sz w:val="24"/>
          <w:szCs w:val="24"/>
        </w:rPr>
      </w:pPr>
      <w:r w:rsidRPr="00A659F3">
        <w:rPr>
          <w:rFonts w:ascii="Arial" w:hAnsi="Arial" w:cs="Arial"/>
          <w:color w:val="00000A"/>
          <w:sz w:val="24"/>
          <w:szCs w:val="24"/>
        </w:rPr>
        <w:t>We do not guarantee or warrant the accuracy, completeness, or usefulness of any information on this site. Any reliance you place on such information is strictly at your own risk. We disclaim all liability and responsibility arising from any reliance placed on such materials by you or any other visitor to this newsletter, or by anyone who may be informed of any of its contents.</w:t>
      </w:r>
    </w:p>
    <w:p w14:paraId="7E1A06D1" w14:textId="77777777" w:rsidR="00A659F3" w:rsidRPr="00A659F3" w:rsidRDefault="00A659F3" w:rsidP="00A659F3">
      <w:pPr>
        <w:pBdr>
          <w:top w:val="single" w:sz="4" w:space="1" w:color="000001"/>
          <w:left w:val="single" w:sz="4" w:space="1" w:color="000001"/>
          <w:bottom w:val="single" w:sz="4" w:space="1" w:color="000001"/>
          <w:right w:val="single" w:sz="4" w:space="1" w:color="000001"/>
          <w:between w:val="nil"/>
        </w:pBdr>
        <w:shd w:val="clear" w:color="auto" w:fill="DDDDDD"/>
        <w:spacing w:before="101" w:after="101"/>
        <w:jc w:val="both"/>
        <w:rPr>
          <w:rFonts w:ascii="Arial" w:hAnsi="Arial" w:cs="Arial"/>
          <w:color w:val="00000A"/>
          <w:sz w:val="24"/>
          <w:szCs w:val="24"/>
        </w:rPr>
      </w:pPr>
      <w:r w:rsidRPr="00A659F3">
        <w:rPr>
          <w:rFonts w:ascii="Arial" w:hAnsi="Arial" w:cs="Arial"/>
          <w:color w:val="00000A"/>
          <w:sz w:val="24"/>
          <w:szCs w:val="24"/>
        </w:rPr>
        <w:t>Your use of this newsletter and your reliance on any information on the site is solely at your own risk. Under no circumstances shall we have any liability to you for any loss or damage of any kind incurred as a result of the use of the newsletter or reliance on any information provided on the newsletter.</w:t>
      </w:r>
    </w:p>
    <w:p w14:paraId="47847051" w14:textId="77777777" w:rsidR="00A659F3" w:rsidRPr="00A659F3" w:rsidRDefault="00A659F3" w:rsidP="00A659F3">
      <w:pPr>
        <w:pBdr>
          <w:top w:val="single" w:sz="4" w:space="1" w:color="000001"/>
          <w:left w:val="single" w:sz="4" w:space="1" w:color="000001"/>
          <w:bottom w:val="single" w:sz="4" w:space="1" w:color="000001"/>
          <w:right w:val="single" w:sz="4" w:space="1" w:color="000001"/>
          <w:between w:val="nil"/>
        </w:pBdr>
        <w:shd w:val="clear" w:color="auto" w:fill="DDDDDD"/>
        <w:spacing w:before="101" w:after="101"/>
        <w:jc w:val="both"/>
        <w:rPr>
          <w:rFonts w:ascii="Arial" w:hAnsi="Arial" w:cs="Arial"/>
          <w:color w:val="00000A"/>
          <w:sz w:val="24"/>
          <w:szCs w:val="24"/>
        </w:rPr>
      </w:pPr>
      <w:r w:rsidRPr="00A659F3">
        <w:rPr>
          <w:rFonts w:ascii="Arial" w:hAnsi="Arial" w:cs="Arial"/>
          <w:color w:val="00000A"/>
          <w:sz w:val="24"/>
          <w:szCs w:val="24"/>
        </w:rPr>
        <w:t xml:space="preserve">If you do not wish to receive this newsletter please let us know by emailing us at  </w:t>
      </w:r>
      <w:hyperlink r:id="rId39">
        <w:r w:rsidRPr="00A659F3">
          <w:rPr>
            <w:rFonts w:ascii="Arial" w:hAnsi="Arial" w:cs="Arial"/>
            <w:color w:val="00000A"/>
            <w:sz w:val="24"/>
            <w:szCs w:val="24"/>
          </w:rPr>
          <w:t>unsubscribe@charltonslaw.com</w:t>
        </w:r>
      </w:hyperlink>
    </w:p>
    <w:p w14:paraId="16343475" w14:textId="58966153" w:rsidR="00A659F3" w:rsidRPr="00A659F3" w:rsidRDefault="00A659F3" w:rsidP="00A659F3">
      <w:pPr>
        <w:pBdr>
          <w:top w:val="nil"/>
          <w:left w:val="nil"/>
          <w:bottom w:val="nil"/>
          <w:right w:val="nil"/>
          <w:between w:val="nil"/>
        </w:pBdr>
        <w:shd w:val="clear" w:color="auto" w:fill="000000"/>
        <w:spacing w:after="200"/>
        <w:jc w:val="center"/>
        <w:rPr>
          <w:rFonts w:ascii="Arial" w:hAnsi="Arial" w:cs="Arial"/>
          <w:color w:val="FFFFFF"/>
          <w:sz w:val="24"/>
          <w:szCs w:val="24"/>
          <w:lang w:val="en-US"/>
        </w:rPr>
      </w:pPr>
      <w:bookmarkStart w:id="0" w:name="_heading=h.mbil623dedjd" w:colFirst="0" w:colLast="0"/>
      <w:bookmarkEnd w:id="0"/>
      <w:proofErr w:type="spellStart"/>
      <w:r w:rsidRPr="00A659F3">
        <w:rPr>
          <w:rFonts w:ascii="Arial" w:hAnsi="Arial" w:cs="Arial"/>
          <w:color w:val="FFFFFF"/>
          <w:sz w:val="24"/>
          <w:szCs w:val="24"/>
        </w:rPr>
        <w:t>Charltons</w:t>
      </w:r>
      <w:proofErr w:type="spellEnd"/>
      <w:r w:rsidRPr="00A659F3">
        <w:rPr>
          <w:rFonts w:ascii="Arial" w:hAnsi="Arial" w:cs="Arial"/>
          <w:color w:val="FFFFFF"/>
          <w:sz w:val="24"/>
          <w:szCs w:val="24"/>
        </w:rPr>
        <w:t xml:space="preserve"> Quantum – Quantum Updates </w:t>
      </w:r>
      <w:r w:rsidRPr="00A659F3">
        <w:rPr>
          <w:rFonts w:ascii="Arial" w:hAnsi="Arial" w:cs="Arial"/>
          <w:color w:val="FFFFFF"/>
          <w:sz w:val="24"/>
          <w:szCs w:val="24"/>
        </w:rPr>
        <w:t>70</w:t>
      </w:r>
      <w:r w:rsidRPr="00A659F3">
        <w:rPr>
          <w:rFonts w:ascii="Arial" w:hAnsi="Arial" w:cs="Arial"/>
          <w:color w:val="FFFFFF"/>
          <w:sz w:val="24"/>
          <w:szCs w:val="24"/>
        </w:rPr>
        <w:t xml:space="preserve"> – </w:t>
      </w:r>
      <w:r w:rsidRPr="00A659F3">
        <w:rPr>
          <w:rFonts w:ascii="Arial" w:hAnsi="Arial" w:cs="Arial"/>
          <w:color w:val="FFFFFF"/>
          <w:sz w:val="24"/>
          <w:szCs w:val="24"/>
          <w:lang w:val="en-US"/>
        </w:rPr>
        <w:t>August</w:t>
      </w:r>
      <w:r w:rsidRPr="00A659F3">
        <w:rPr>
          <w:rFonts w:ascii="Arial" w:hAnsi="Arial" w:cs="Arial"/>
          <w:color w:val="FFFFFF"/>
          <w:sz w:val="24"/>
          <w:szCs w:val="24"/>
        </w:rPr>
        <w:t xml:space="preserve"> 2026</w:t>
      </w:r>
    </w:p>
    <w:sectPr w:rsidR="00A659F3" w:rsidRPr="00A659F3" w:rsidSect="0076560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625691"/>
    <w:multiLevelType w:val="hybridMultilevel"/>
    <w:tmpl w:val="72746170"/>
    <w:lvl w:ilvl="0" w:tplc="8214DB0C">
      <w:start w:val="1"/>
      <w:numFmt w:val="bullet"/>
      <w:lvlText w:val="•"/>
      <w:lvlJc w:val="left"/>
      <w:pPr>
        <w:ind w:left="576" w:hanging="288"/>
      </w:pPr>
    </w:lvl>
    <w:lvl w:ilvl="1" w:tplc="EA7E93F8">
      <w:numFmt w:val="decimal"/>
      <w:lvlText w:val=""/>
      <w:lvlJc w:val="left"/>
    </w:lvl>
    <w:lvl w:ilvl="2" w:tplc="0E1457EE">
      <w:numFmt w:val="decimal"/>
      <w:lvlText w:val=""/>
      <w:lvlJc w:val="left"/>
    </w:lvl>
    <w:lvl w:ilvl="3" w:tplc="BEAAF55C">
      <w:numFmt w:val="decimal"/>
      <w:lvlText w:val=""/>
      <w:lvlJc w:val="left"/>
    </w:lvl>
    <w:lvl w:ilvl="4" w:tplc="8F402AC4">
      <w:numFmt w:val="decimal"/>
      <w:lvlText w:val=""/>
      <w:lvlJc w:val="left"/>
    </w:lvl>
    <w:lvl w:ilvl="5" w:tplc="24DA2244">
      <w:numFmt w:val="decimal"/>
      <w:lvlText w:val=""/>
      <w:lvlJc w:val="left"/>
    </w:lvl>
    <w:lvl w:ilvl="6" w:tplc="E6E8E2A4">
      <w:numFmt w:val="decimal"/>
      <w:lvlText w:val=""/>
      <w:lvlJc w:val="left"/>
    </w:lvl>
    <w:lvl w:ilvl="7" w:tplc="6C1860C8">
      <w:numFmt w:val="decimal"/>
      <w:lvlText w:val=""/>
      <w:lvlJc w:val="left"/>
    </w:lvl>
    <w:lvl w:ilvl="8" w:tplc="3AE24C14">
      <w:numFmt w:val="decimal"/>
      <w:lvlText w:val=""/>
      <w:lvlJc w:val="left"/>
    </w:lvl>
  </w:abstractNum>
  <w:abstractNum w:abstractNumId="1" w15:restartNumberingAfterBreak="0">
    <w:nsid w:val="72BD008B"/>
    <w:multiLevelType w:val="hybridMultilevel"/>
    <w:tmpl w:val="E662032A"/>
    <w:lvl w:ilvl="0" w:tplc="D458C88A">
      <w:start w:val="1"/>
      <w:numFmt w:val="bullet"/>
      <w:lvlText w:val="●"/>
      <w:lvlJc w:val="left"/>
      <w:pPr>
        <w:ind w:left="720" w:hanging="360"/>
      </w:pPr>
    </w:lvl>
    <w:lvl w:ilvl="1" w:tplc="02D0259E">
      <w:start w:val="1"/>
      <w:numFmt w:val="bullet"/>
      <w:lvlText w:val="○"/>
      <w:lvlJc w:val="left"/>
      <w:pPr>
        <w:ind w:left="1440" w:hanging="360"/>
      </w:pPr>
    </w:lvl>
    <w:lvl w:ilvl="2" w:tplc="A96C0684">
      <w:start w:val="1"/>
      <w:numFmt w:val="bullet"/>
      <w:lvlText w:val="■"/>
      <w:lvlJc w:val="left"/>
      <w:pPr>
        <w:ind w:left="2160" w:hanging="360"/>
      </w:pPr>
    </w:lvl>
    <w:lvl w:ilvl="3" w:tplc="47AAB182">
      <w:start w:val="1"/>
      <w:numFmt w:val="bullet"/>
      <w:lvlText w:val="●"/>
      <w:lvlJc w:val="left"/>
      <w:pPr>
        <w:ind w:left="2880" w:hanging="360"/>
      </w:pPr>
    </w:lvl>
    <w:lvl w:ilvl="4" w:tplc="7862AD3E">
      <w:start w:val="1"/>
      <w:numFmt w:val="bullet"/>
      <w:lvlText w:val="○"/>
      <w:lvlJc w:val="left"/>
      <w:pPr>
        <w:ind w:left="3600" w:hanging="360"/>
      </w:pPr>
    </w:lvl>
    <w:lvl w:ilvl="5" w:tplc="D1F40816">
      <w:start w:val="1"/>
      <w:numFmt w:val="bullet"/>
      <w:lvlText w:val="■"/>
      <w:lvlJc w:val="left"/>
      <w:pPr>
        <w:ind w:left="4320" w:hanging="360"/>
      </w:pPr>
    </w:lvl>
    <w:lvl w:ilvl="6" w:tplc="B1DE036C">
      <w:start w:val="1"/>
      <w:numFmt w:val="bullet"/>
      <w:lvlText w:val="●"/>
      <w:lvlJc w:val="left"/>
      <w:pPr>
        <w:ind w:left="5040" w:hanging="360"/>
      </w:pPr>
    </w:lvl>
    <w:lvl w:ilvl="7" w:tplc="9376B0E0">
      <w:start w:val="1"/>
      <w:numFmt w:val="bullet"/>
      <w:lvlText w:val="●"/>
      <w:lvlJc w:val="left"/>
      <w:pPr>
        <w:ind w:left="5760" w:hanging="360"/>
      </w:pPr>
    </w:lvl>
    <w:lvl w:ilvl="8" w:tplc="FC44586E">
      <w:start w:val="1"/>
      <w:numFmt w:val="bullet"/>
      <w:lvlText w:val="●"/>
      <w:lvlJc w:val="left"/>
      <w:pPr>
        <w:ind w:left="6480" w:hanging="360"/>
      </w:pPr>
    </w:lvl>
  </w:abstractNum>
  <w:num w:numId="1" w16cid:durableId="814181100">
    <w:abstractNumId w:val="1"/>
    <w:lvlOverride w:ilvl="0">
      <w:startOverride w:val="1"/>
    </w:lvlOverride>
  </w:num>
  <w:num w:numId="2" w16cid:durableId="214056691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F71"/>
    <w:rsid w:val="002B0F71"/>
    <w:rsid w:val="003A4891"/>
    <w:rsid w:val="003F62F0"/>
    <w:rsid w:val="0076560B"/>
    <w:rsid w:val="00A17E76"/>
    <w:rsid w:val="00A659F3"/>
    <w:rsid w:val="00A81A03"/>
    <w:rsid w:val="00F620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3111A2F2"/>
  <w15:docId w15:val="{7DC9367D-F059-7C43-B4A2-237BDB3EA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 w:type="character" w:styleId="ac">
    <w:name w:val="Unresolved Mention"/>
    <w:basedOn w:val="a0"/>
    <w:uiPriority w:val="99"/>
    <w:semiHidden/>
    <w:unhideWhenUsed/>
    <w:rsid w:val="00A659F3"/>
    <w:rPr>
      <w:color w:val="605E5C"/>
      <w:shd w:val="clear" w:color="auto" w:fill="E1DFDD"/>
    </w:rPr>
  </w:style>
  <w:style w:type="character" w:styleId="ad">
    <w:name w:val="FollowedHyperlink"/>
    <w:basedOn w:val="a0"/>
    <w:uiPriority w:val="99"/>
    <w:semiHidden/>
    <w:unhideWhenUsed/>
    <w:rsid w:val="003F62F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apps.sfc.hk/edistributionWeb/api/circular/openFile?lang=EN&amp;refNo=26EC35" TargetMode="External"/><Relationship Id="rId18" Type="http://schemas.openxmlformats.org/officeDocument/2006/relationships/hyperlink" Target="https://www.fca.org.uk/news/press-releases/fca-appoints-new-members-secondary-markets-advisory-committee" TargetMode="External"/><Relationship Id="rId26" Type="http://schemas.openxmlformats.org/officeDocument/2006/relationships/hyperlink" Target="https://charltonsquantum.com/" TargetMode="External"/><Relationship Id="rId39" Type="http://schemas.openxmlformats.org/officeDocument/2006/relationships/hyperlink" Target="mailto:unsubscribe@charltonslaw.com?subject=unsubscribe%20-Hong%20Kong%20Law-" TargetMode="External"/><Relationship Id="rId21" Type="http://schemas.openxmlformats.org/officeDocument/2006/relationships/hyperlink" Target="https://charltonsquantum.com/" TargetMode="External"/><Relationship Id="rId34" Type="http://schemas.openxmlformats.org/officeDocument/2006/relationships/hyperlink" Target="https://charltonsquantum.com/" TargetMode="External"/><Relationship Id="rId7" Type="http://schemas.openxmlformats.org/officeDocument/2006/relationships/hyperlink" Target="https://charltonsquantum.com/" TargetMode="External"/><Relationship Id="rId2" Type="http://schemas.openxmlformats.org/officeDocument/2006/relationships/styles" Target="styles.xml"/><Relationship Id="rId16" Type="http://schemas.openxmlformats.org/officeDocument/2006/relationships/hyperlink" Target="https://www.bank.lv/en/news-and-events/news-and-articles/news/17744-latvijas-banka-is-issuing-two-licences-to-nodu-digital-sia" TargetMode="External"/><Relationship Id="rId20" Type="http://schemas.openxmlformats.org/officeDocument/2006/relationships/hyperlink" Target="https://www.sec.gov/newsroom/speeches-statements/atkins-statement-2026-regulatory-agenda-070726" TargetMode="External"/><Relationship Id="rId29" Type="http://schemas.openxmlformats.org/officeDocument/2006/relationships/hyperlink" Target="https://www.sec.gov/newsroom/press-releases/2026-61-sec-publishes-updated-market-statistics-highlighting-increase-ipos-proceeds-raised"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n-rules.hkex.com.hk/rulebook/guidance-materials-listed-issuers" TargetMode="External"/><Relationship Id="rId11" Type="http://schemas.openxmlformats.org/officeDocument/2006/relationships/hyperlink" Target="https://www.sec.gov/files/rules/proposed/2026/33-11430.pdf" TargetMode="External"/><Relationship Id="rId24" Type="http://schemas.openxmlformats.org/officeDocument/2006/relationships/hyperlink" Target="https://www.mas.gov.sg/publications/monographs-or-information-paper/2026/safeguards-for-agentic-finance-at-runtime" TargetMode="External"/><Relationship Id="rId32" Type="http://schemas.openxmlformats.org/officeDocument/2006/relationships/hyperlink" Target="https://charltonsquantum.com/" TargetMode="External"/><Relationship Id="rId37" Type="http://schemas.openxmlformats.org/officeDocument/2006/relationships/hyperlink" Target="https://www.fca.org.uk/news/speeches/rethinking-regulation-age-ai" TargetMode="External"/><Relationship Id="rId40" Type="http://schemas.openxmlformats.org/officeDocument/2006/relationships/fontTable" Target="fontTable.xml"/><Relationship Id="rId5" Type="http://schemas.openxmlformats.org/officeDocument/2006/relationships/hyperlink" Target="https://charltonsquantum.com/quantum-update-69-united-states-cftc-appoints-dr-patrick-j-schorno-as-chief-economist-july-2026/" TargetMode="External"/><Relationship Id="rId15" Type="http://schemas.openxmlformats.org/officeDocument/2006/relationships/hyperlink" Target="https://www.bank.lv/en/news-and-events/news-and-articles/news/17746-latvijas-banka-is-issuing-an-electronic-money-institution-operating-licence-to-sia-moin-payments" TargetMode="External"/><Relationship Id="rId23" Type="http://schemas.openxmlformats.org/officeDocument/2006/relationships/hyperlink" Target="https://charltonsquantum.com/" TargetMode="External"/><Relationship Id="rId28" Type="http://schemas.openxmlformats.org/officeDocument/2006/relationships/hyperlink" Target="https://charltonsquantum.com/" TargetMode="External"/><Relationship Id="rId36" Type="http://schemas.openxmlformats.org/officeDocument/2006/relationships/hyperlink" Target="https://charltonsquantum.com/" TargetMode="External"/><Relationship Id="rId10" Type="http://schemas.openxmlformats.org/officeDocument/2006/relationships/hyperlink" Target="https://charltonsquantum.com/" TargetMode="External"/><Relationship Id="rId19" Type="http://schemas.openxmlformats.org/officeDocument/2006/relationships/hyperlink" Target="https://charltonsquantum.com/" TargetMode="External"/><Relationship Id="rId31" Type="http://schemas.openxmlformats.org/officeDocument/2006/relationships/hyperlink" Target="https://dfpi.ca.gov/regulated-industries/digital-financial-assets/" TargetMode="External"/><Relationship Id="rId4" Type="http://schemas.openxmlformats.org/officeDocument/2006/relationships/webSettings" Target="webSettings.xml"/><Relationship Id="rId9" Type="http://schemas.openxmlformats.org/officeDocument/2006/relationships/hyperlink" Target="https://www.fca.org.uk/publication/correspondence/fca-letter-new-approach-support-growth.pdf" TargetMode="External"/><Relationship Id="rId14" Type="http://schemas.openxmlformats.org/officeDocument/2006/relationships/hyperlink" Target="https://charltonsquantum.com/" TargetMode="External"/><Relationship Id="rId22" Type="http://schemas.openxmlformats.org/officeDocument/2006/relationships/hyperlink" Target="https://www.sec.gov/newsroom/press-releases/2026-62-sec-names-paul-knight-chief-operating-officer" TargetMode="External"/><Relationship Id="rId27" Type="http://schemas.openxmlformats.org/officeDocument/2006/relationships/hyperlink" Target="https://scb.gov.bs/wp-content/uploads/2026/07/DSJ-Exchange-PYT-Ltd-Public-Notice-final-1.pdf" TargetMode="External"/><Relationship Id="rId30" Type="http://schemas.openxmlformats.org/officeDocument/2006/relationships/hyperlink" Target="https://charltonsquantum.com/" TargetMode="External"/><Relationship Id="rId35" Type="http://schemas.openxmlformats.org/officeDocument/2006/relationships/hyperlink" Target="https://download.asic.gov.au/media/d0fp1zbv/rep835-published-30-june-2026.pdf" TargetMode="External"/><Relationship Id="rId8" Type="http://schemas.openxmlformats.org/officeDocument/2006/relationships/hyperlink" Target="https://www.fca.org.uk/firms/innovation/supercharged-sandbox" TargetMode="External"/><Relationship Id="rId3" Type="http://schemas.openxmlformats.org/officeDocument/2006/relationships/settings" Target="settings.xml"/><Relationship Id="rId12" Type="http://schemas.openxmlformats.org/officeDocument/2006/relationships/hyperlink" Target="https://charltonsquantum.com/" TargetMode="External"/><Relationship Id="rId17" Type="http://schemas.openxmlformats.org/officeDocument/2006/relationships/hyperlink" Target="https://charltonsquantum.com/" TargetMode="External"/><Relationship Id="rId25" Type="http://schemas.openxmlformats.org/officeDocument/2006/relationships/hyperlink" Target="https://form.gov.sg/692d54b9d4e0e288131feb1a" TargetMode="External"/><Relationship Id="rId33" Type="http://schemas.openxmlformats.org/officeDocument/2006/relationships/hyperlink" Target="https://www.bvifsc.vg/news/industry-updates/industry-circular-20-2026-update-economic-substance-filing-fees" TargetMode="External"/><Relationship Id="rId38" Type="http://schemas.openxmlformats.org/officeDocument/2006/relationships/hyperlink" Target="https://charltonsquant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13</Pages>
  <Words>5844</Words>
  <Characters>33316</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Mikhail Zavalko</cp:lastModifiedBy>
  <cp:revision>5</cp:revision>
  <dcterms:created xsi:type="dcterms:W3CDTF">2026-08-25T08:24:00Z</dcterms:created>
  <dcterms:modified xsi:type="dcterms:W3CDTF">2026-09-07T05:08:00Z</dcterms:modified>
</cp:coreProperties>
</file>