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6DE58B" w14:textId="77777777" w:rsidR="00745851" w:rsidRPr="00745851" w:rsidRDefault="00745851" w:rsidP="00745851">
      <w:pPr>
        <w:shd w:val="clear" w:color="auto" w:fill="000000"/>
        <w:jc w:val="center"/>
        <w:rPr>
          <w:rFonts w:ascii="Arial" w:hAnsi="Arial" w:cs="Arial"/>
          <w:color w:val="FFFFFF"/>
          <w:sz w:val="24"/>
          <w:szCs w:val="24"/>
        </w:rPr>
      </w:pPr>
      <w:proofErr w:type="spellStart"/>
      <w:r w:rsidRPr="00745851">
        <w:rPr>
          <w:rFonts w:ascii="Arial" w:hAnsi="Arial" w:cs="Arial"/>
          <w:color w:val="FFFFFF"/>
          <w:sz w:val="24"/>
          <w:szCs w:val="24"/>
        </w:rPr>
        <w:t>Charltons</w:t>
      </w:r>
      <w:proofErr w:type="spellEnd"/>
      <w:r w:rsidRPr="00745851">
        <w:rPr>
          <w:rFonts w:ascii="Arial" w:hAnsi="Arial" w:cs="Arial"/>
          <w:color w:val="FFFFFF"/>
          <w:sz w:val="24"/>
          <w:szCs w:val="24"/>
        </w:rPr>
        <w:t xml:space="preserve"> Quantum – Quantum Updates 71 – </w:t>
      </w:r>
      <w:r w:rsidRPr="00745851">
        <w:rPr>
          <w:rFonts w:ascii="Arial" w:hAnsi="Arial" w:cs="Arial"/>
          <w:color w:val="FFFFFF"/>
          <w:sz w:val="24"/>
          <w:szCs w:val="24"/>
          <w:lang w:val="en-US"/>
        </w:rPr>
        <w:t>September</w:t>
      </w:r>
      <w:r w:rsidRPr="00745851">
        <w:rPr>
          <w:rFonts w:ascii="Arial" w:hAnsi="Arial" w:cs="Arial"/>
          <w:color w:val="FFFFFF"/>
          <w:sz w:val="24"/>
          <w:szCs w:val="24"/>
        </w:rPr>
        <w:t xml:space="preserve"> 2026</w:t>
      </w:r>
    </w:p>
    <w:p w14:paraId="76F14C55" w14:textId="67A9B67D" w:rsidR="00745851" w:rsidRPr="00BF18E2" w:rsidRDefault="00745851" w:rsidP="00BF18E2">
      <w:pPr>
        <w:spacing w:after="200"/>
        <w:jc w:val="center"/>
        <w:rPr>
          <w:rFonts w:ascii="Arial" w:hAnsi="Arial" w:cs="Arial"/>
          <w:sz w:val="28"/>
          <w:szCs w:val="28"/>
        </w:rPr>
      </w:pPr>
      <w:r w:rsidRPr="00BF18E2">
        <w:rPr>
          <w:rFonts w:ascii="Arial" w:hAnsi="Arial" w:cs="Arial"/>
          <w:color w:val="FFFFFF"/>
          <w:sz w:val="28"/>
          <w:szCs w:val="28"/>
        </w:rPr>
        <w:br/>
      </w:r>
      <w:hyperlink r:id="rId7">
        <w:r w:rsidRPr="00745851">
          <w:rPr>
            <w:rFonts w:ascii="Arial" w:hAnsi="Arial" w:cs="Arial"/>
            <w:color w:val="1155CC"/>
            <w:sz w:val="28"/>
            <w:szCs w:val="28"/>
            <w:u w:val="single"/>
          </w:rPr>
          <w:t>O</w:t>
        </w:r>
        <w:r w:rsidRPr="00745851">
          <w:rPr>
            <w:rFonts w:ascii="Arial" w:hAnsi="Arial" w:cs="Arial"/>
            <w:color w:val="1155CC"/>
            <w:sz w:val="28"/>
            <w:szCs w:val="28"/>
            <w:u w:val="single"/>
          </w:rPr>
          <w:t>n</w:t>
        </w:r>
        <w:r w:rsidRPr="00745851">
          <w:rPr>
            <w:rFonts w:ascii="Arial" w:hAnsi="Arial" w:cs="Arial"/>
            <w:color w:val="1155CC"/>
            <w:sz w:val="28"/>
            <w:szCs w:val="28"/>
            <w:u w:val="single"/>
          </w:rPr>
          <w:t>line version</w:t>
        </w:r>
      </w:hyperlink>
    </w:p>
    <w:p w14:paraId="7C45C80F" w14:textId="77777777" w:rsidR="008F3BE5" w:rsidRPr="00745851" w:rsidRDefault="008F3BE5" w:rsidP="00BF18E2">
      <w:pPr>
        <w:rPr>
          <w:rFonts w:ascii="Arial" w:hAnsi="Arial" w:cs="Arial"/>
          <w:b/>
          <w:bCs/>
          <w:color w:val="000000"/>
          <w:sz w:val="24"/>
          <w:szCs w:val="24"/>
        </w:rPr>
      </w:pPr>
    </w:p>
    <w:p w14:paraId="2108224F" w14:textId="77777777" w:rsidR="008F3BE5" w:rsidRPr="00745851" w:rsidRDefault="008F3BE5" w:rsidP="008F3BE5">
      <w:pPr>
        <w:pStyle w:val="2"/>
        <w:jc w:val="both"/>
        <w:rPr>
          <w:rFonts w:ascii="Arial" w:hAnsi="Arial" w:cs="Arial"/>
          <w:b/>
          <w:bCs/>
          <w:color w:val="000000"/>
          <w:sz w:val="24"/>
          <w:szCs w:val="24"/>
        </w:rPr>
      </w:pPr>
      <w:r w:rsidRPr="00745851">
        <w:rPr>
          <w:rFonts w:ascii="Arial" w:hAnsi="Arial" w:cs="Arial"/>
          <w:b/>
          <w:bCs/>
          <w:color w:val="000000"/>
          <w:sz w:val="24"/>
          <w:szCs w:val="24"/>
        </w:rPr>
        <w:t>US CFTC | Chairman Selig Unveils Roadmap for the New Frontier of Finance Covering Crypto Market Structure, Compute Markets and Prediction Markets</w:t>
      </w:r>
    </w:p>
    <w:p w14:paraId="593B4100" w14:textId="77777777" w:rsidR="008F3BE5" w:rsidRPr="00745851" w:rsidRDefault="008F3BE5" w:rsidP="008F3BE5">
      <w:pPr>
        <w:pStyle w:val="2"/>
        <w:spacing w:before="40" w:after="120"/>
        <w:jc w:val="both"/>
        <w:rPr>
          <w:rFonts w:ascii="Arial" w:hAnsi="Arial" w:cs="Arial"/>
          <w:b/>
          <w:bCs/>
          <w:color w:val="000000"/>
          <w:sz w:val="24"/>
          <w:szCs w:val="24"/>
        </w:rPr>
      </w:pPr>
    </w:p>
    <w:p w14:paraId="5018F81B" w14:textId="2ED26A0D" w:rsidR="008F3BE5" w:rsidRPr="00745851" w:rsidRDefault="008F3BE5" w:rsidP="008F3BE5">
      <w:pPr>
        <w:pStyle w:val="2"/>
        <w:spacing w:before="40" w:after="120"/>
        <w:jc w:val="both"/>
        <w:rPr>
          <w:rFonts w:ascii="Arial" w:hAnsi="Arial" w:cs="Arial"/>
          <w:color w:val="000000"/>
          <w:sz w:val="24"/>
          <w:szCs w:val="24"/>
        </w:rPr>
      </w:pPr>
      <w:r w:rsidRPr="00745851">
        <w:rPr>
          <w:rFonts w:ascii="Arial" w:hAnsi="Arial" w:cs="Arial"/>
          <w:color w:val="000000"/>
          <w:sz w:val="24"/>
          <w:szCs w:val="24"/>
        </w:rPr>
        <w:t xml:space="preserve">On 20 August 2026, US Commodity Futures Trading Commission (CFTC) Chairman Michael S. Selig delivered </w:t>
      </w:r>
      <w:hyperlink r:id="rId8" w:history="1">
        <w:r w:rsidRPr="00BF18E2">
          <w:rPr>
            <w:rStyle w:val="a5"/>
            <w:rFonts w:ascii="Arial" w:hAnsi="Arial" w:cs="Arial"/>
            <w:color w:val="E97132"/>
            <w:sz w:val="24"/>
            <w:szCs w:val="24"/>
          </w:rPr>
          <w:t>remarks at the inaugural meeting of the Innovation Advisory Committee</w:t>
        </w:r>
      </w:hyperlink>
      <w:r w:rsidRPr="00745851">
        <w:rPr>
          <w:rFonts w:ascii="Arial" w:hAnsi="Arial" w:cs="Arial"/>
          <w:color w:val="000000"/>
          <w:sz w:val="24"/>
          <w:szCs w:val="24"/>
        </w:rPr>
        <w:t>, setting out a regulatory agenda he calls the Roadmap for the New Frontier of Finance, spanning crypto asset market structure, compute markets and prediction markets regulation.</w:t>
      </w:r>
    </w:p>
    <w:p w14:paraId="68F3019E" w14:textId="4EAAEAAB"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 xml:space="preserve">The  US CFTC </w:t>
      </w:r>
      <w:r w:rsidR="00D45032" w:rsidRPr="00745851">
        <w:rPr>
          <w:rFonts w:ascii="Arial" w:hAnsi="Arial" w:cs="Arial"/>
          <w:color w:val="000000"/>
          <w:sz w:val="24"/>
          <w:szCs w:val="24"/>
        </w:rPr>
        <w:t xml:space="preserve">stated that it </w:t>
      </w:r>
      <w:r w:rsidRPr="00745851">
        <w:rPr>
          <w:rFonts w:ascii="Arial" w:hAnsi="Arial" w:cs="Arial"/>
          <w:color w:val="000000"/>
          <w:sz w:val="24"/>
          <w:szCs w:val="24"/>
        </w:rPr>
        <w:t>"stands ready" to implement the CLARITY Act immediately if passed</w:t>
      </w:r>
      <w:r w:rsidR="00D45032" w:rsidRPr="00745851">
        <w:rPr>
          <w:rFonts w:ascii="Arial" w:hAnsi="Arial" w:cs="Arial"/>
          <w:color w:val="000000"/>
          <w:sz w:val="24"/>
          <w:szCs w:val="24"/>
        </w:rPr>
        <w:t>.</w:t>
      </w:r>
      <w:r w:rsidRPr="00745851">
        <w:rPr>
          <w:rFonts w:ascii="Arial" w:hAnsi="Arial" w:cs="Arial"/>
          <w:color w:val="000000"/>
          <w:sz w:val="24"/>
          <w:szCs w:val="24"/>
        </w:rPr>
        <w:t xml:space="preserve"> Selig</w:t>
      </w:r>
      <w:r w:rsidR="00D45032" w:rsidRPr="00745851">
        <w:rPr>
          <w:rFonts w:ascii="Arial" w:hAnsi="Arial" w:cs="Arial"/>
          <w:color w:val="000000"/>
          <w:sz w:val="24"/>
          <w:szCs w:val="24"/>
        </w:rPr>
        <w:t xml:space="preserve"> further suggested</w:t>
      </w:r>
      <w:r w:rsidRPr="00745851">
        <w:rPr>
          <w:rFonts w:ascii="Arial" w:hAnsi="Arial" w:cs="Arial"/>
          <w:color w:val="000000"/>
          <w:sz w:val="24"/>
          <w:szCs w:val="24"/>
        </w:rPr>
        <w:t xml:space="preserve"> staff to begin exploring rules codifying CFTC market structure for crypto assets under existing authorities, creating a new type of designated contract market known as a "crypto asset market" through which current registrants and non-registrant crypto exchanges could offer leveraged or margined crypto trading under purpose-fit rules.</w:t>
      </w:r>
    </w:p>
    <w:p w14:paraId="4D91F41F" w14:textId="53E635AB"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 xml:space="preserve">The mechanism rests on the Dodd-Frank provision bringing retail commodity transactions on a leveraged, margined or financed basis within </w:t>
      </w:r>
      <w:r w:rsidR="00D45032" w:rsidRPr="00745851">
        <w:rPr>
          <w:rFonts w:ascii="Arial" w:hAnsi="Arial" w:cs="Arial"/>
          <w:color w:val="000000"/>
          <w:sz w:val="24"/>
          <w:szCs w:val="24"/>
        </w:rPr>
        <w:t xml:space="preserve">US </w:t>
      </w:r>
      <w:r w:rsidRPr="00745851">
        <w:rPr>
          <w:rFonts w:ascii="Arial" w:hAnsi="Arial" w:cs="Arial"/>
          <w:color w:val="000000"/>
          <w:sz w:val="24"/>
          <w:szCs w:val="24"/>
        </w:rPr>
        <w:t>CFTC jurisdiction as futures, giving spot crypto exchanges a federal registration home without new legislation; Selig was explicit about the sequencing, stating the US CFTC will give CLARITY "its breathing room for a vote" but staff will "move swiftly to propose these new rules" if the bill stalls, so a federal pathway is coming by one route or the other.</w:t>
      </w:r>
    </w:p>
    <w:p w14:paraId="734F2E69" w14:textId="0E679C14"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The historical</w:t>
      </w:r>
      <w:r w:rsidR="00D45032" w:rsidRPr="00745851">
        <w:rPr>
          <w:rFonts w:ascii="Arial" w:hAnsi="Arial" w:cs="Arial"/>
          <w:color w:val="000000"/>
          <w:sz w:val="24"/>
          <w:szCs w:val="24"/>
        </w:rPr>
        <w:t xml:space="preserve"> anchor</w:t>
      </w:r>
      <w:r w:rsidRPr="00745851">
        <w:rPr>
          <w:rFonts w:ascii="Arial" w:hAnsi="Arial" w:cs="Arial"/>
          <w:color w:val="000000"/>
          <w:sz w:val="24"/>
          <w:szCs w:val="24"/>
        </w:rPr>
        <w:t xml:space="preserve"> by recounting how nineteenth-century state anti-gaming and anti-bucket shop laws against grain futures were resolved by exclusive federal jurisdiction under section 2(a)(1)(A) of the </w:t>
      </w:r>
      <w:r w:rsidR="00D45032" w:rsidRPr="00745851">
        <w:rPr>
          <w:rFonts w:ascii="Arial" w:hAnsi="Arial" w:cs="Arial"/>
          <w:color w:val="000000"/>
          <w:sz w:val="24"/>
          <w:szCs w:val="24"/>
        </w:rPr>
        <w:t xml:space="preserve">US </w:t>
      </w:r>
      <w:r w:rsidRPr="00745851">
        <w:rPr>
          <w:rFonts w:ascii="Arial" w:hAnsi="Arial" w:cs="Arial"/>
          <w:color w:val="000000"/>
          <w:sz w:val="24"/>
          <w:szCs w:val="24"/>
        </w:rPr>
        <w:t xml:space="preserve">Commodity Exchange Act in 1974, Selig is previewing the </w:t>
      </w:r>
      <w:r w:rsidR="00A4181D" w:rsidRPr="00745851">
        <w:rPr>
          <w:rFonts w:ascii="Arial" w:hAnsi="Arial" w:cs="Arial"/>
          <w:color w:val="000000"/>
          <w:sz w:val="24"/>
          <w:szCs w:val="24"/>
        </w:rPr>
        <w:t>pre-emption</w:t>
      </w:r>
      <w:r w:rsidRPr="00745851">
        <w:rPr>
          <w:rFonts w:ascii="Arial" w:hAnsi="Arial" w:cs="Arial"/>
          <w:color w:val="000000"/>
          <w:sz w:val="24"/>
          <w:szCs w:val="24"/>
        </w:rPr>
        <w:t xml:space="preserve"> argument the US CFTC will run in the Kalshi litigation and its successors over event contracts.</w:t>
      </w:r>
    </w:p>
    <w:p w14:paraId="3FB47A97" w14:textId="7704E2BA" w:rsidR="008F3BE5" w:rsidRPr="00745851" w:rsidRDefault="00A4181D"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A</w:t>
      </w:r>
      <w:r w:rsidR="008F3BE5" w:rsidRPr="00745851">
        <w:rPr>
          <w:rFonts w:ascii="Arial" w:hAnsi="Arial" w:cs="Arial"/>
          <w:color w:val="000000"/>
          <w:sz w:val="24"/>
          <w:szCs w:val="24"/>
        </w:rPr>
        <w:t>mendments to Rule 40.11 defining "gaming" and establishing public interest criteria (removing the risk of rejection "based upon arbitrary whims or political biases"), a modernised reporting framework for fully collateralised event contracts, and forthcoming amendments to Parts 38 and 40 instituting consumer protection requirements alongside expectations for product governance, market design and incentive programmes.</w:t>
      </w:r>
    </w:p>
    <w:p w14:paraId="09CFC3DB" w14:textId="6DFD09AF" w:rsidR="008F3BE5" w:rsidRPr="00745851" w:rsidRDefault="00A4181D"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R</w:t>
      </w:r>
      <w:r w:rsidR="008F3BE5" w:rsidRPr="00745851">
        <w:rPr>
          <w:rFonts w:ascii="Arial" w:hAnsi="Arial" w:cs="Arial"/>
          <w:color w:val="000000"/>
          <w:sz w:val="24"/>
          <w:szCs w:val="24"/>
        </w:rPr>
        <w:t xml:space="preserve">etail-facing platforms </w:t>
      </w:r>
      <w:r w:rsidRPr="00745851">
        <w:rPr>
          <w:rFonts w:ascii="Arial" w:hAnsi="Arial" w:cs="Arial"/>
          <w:color w:val="000000"/>
          <w:sz w:val="24"/>
          <w:szCs w:val="24"/>
        </w:rPr>
        <w:t xml:space="preserve">may consider to </w:t>
      </w:r>
      <w:r w:rsidR="00061D4A" w:rsidRPr="00745851">
        <w:rPr>
          <w:rFonts w:ascii="Arial" w:hAnsi="Arial" w:cs="Arial"/>
          <w:color w:val="000000"/>
          <w:sz w:val="24"/>
          <w:szCs w:val="24"/>
        </w:rPr>
        <w:t xml:space="preserve">keep a close watch on </w:t>
      </w:r>
      <w:r w:rsidR="008F3BE5" w:rsidRPr="00745851">
        <w:rPr>
          <w:rFonts w:ascii="Arial" w:hAnsi="Arial" w:cs="Arial"/>
          <w:color w:val="000000"/>
          <w:sz w:val="24"/>
          <w:szCs w:val="24"/>
        </w:rPr>
        <w:t>product governance, market design and incentive programme rules would reach the promotional mechanics, contest structures and gamification features that have drawn the sharpest public criticism, showing the</w:t>
      </w:r>
      <w:r w:rsidR="00782285" w:rsidRPr="00745851">
        <w:rPr>
          <w:rFonts w:ascii="Arial" w:hAnsi="Arial" w:cs="Arial"/>
          <w:color w:val="000000"/>
          <w:sz w:val="24"/>
          <w:szCs w:val="24"/>
        </w:rPr>
        <w:t xml:space="preserve"> US CFTC</w:t>
      </w:r>
      <w:r w:rsidR="008F3BE5" w:rsidRPr="00745851">
        <w:rPr>
          <w:rFonts w:ascii="Arial" w:hAnsi="Arial" w:cs="Arial"/>
          <w:color w:val="000000"/>
          <w:sz w:val="24"/>
          <w:szCs w:val="24"/>
        </w:rPr>
        <w:t xml:space="preserve"> pairing federal </w:t>
      </w:r>
      <w:r w:rsidRPr="00745851">
        <w:rPr>
          <w:rFonts w:ascii="Arial" w:hAnsi="Arial" w:cs="Arial"/>
          <w:color w:val="000000"/>
          <w:sz w:val="24"/>
          <w:szCs w:val="24"/>
        </w:rPr>
        <w:t>pre-emption</w:t>
      </w:r>
      <w:r w:rsidR="008F3BE5" w:rsidRPr="00745851">
        <w:rPr>
          <w:rFonts w:ascii="Arial" w:hAnsi="Arial" w:cs="Arial"/>
          <w:color w:val="000000"/>
          <w:sz w:val="24"/>
          <w:szCs w:val="24"/>
        </w:rPr>
        <w:t xml:space="preserve"> with substantive standards rather than defending an unregulated field.</w:t>
      </w:r>
    </w:p>
    <w:p w14:paraId="213E03B7" w14:textId="1F69600F" w:rsidR="00745851" w:rsidRPr="00BF18E2" w:rsidRDefault="008F3BE5" w:rsidP="00BF18E2">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Selig confirmed the partnership with the Department of Commerce and framed the 19 August 2026 request for comment (covered separately in this issue) as the first step towards a gold standard regulatory framework for compute markets, while staff have also been directed to engage with developers of on</w:t>
      </w:r>
      <w:r w:rsidR="00061D4A" w:rsidRPr="00745851">
        <w:rPr>
          <w:rFonts w:ascii="Arial" w:hAnsi="Arial" w:cs="Arial"/>
          <w:color w:val="000000"/>
          <w:sz w:val="24"/>
          <w:szCs w:val="24"/>
        </w:rPr>
        <w:t>-</w:t>
      </w:r>
      <w:r w:rsidRPr="00745851">
        <w:rPr>
          <w:rFonts w:ascii="Arial" w:hAnsi="Arial" w:cs="Arial"/>
          <w:color w:val="000000"/>
          <w:sz w:val="24"/>
          <w:szCs w:val="24"/>
        </w:rPr>
        <w:lastRenderedPageBreak/>
        <w:t>chain finance protocols on legal and compliant pathways for offering protocols in the United States.</w:t>
      </w:r>
    </w:p>
    <w:p w14:paraId="6B54A0DA"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9"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1387E524" w14:textId="77777777" w:rsidR="00745851" w:rsidRPr="00745851" w:rsidRDefault="00745851" w:rsidP="00BF18E2">
      <w:pPr>
        <w:pStyle w:val="2"/>
        <w:spacing w:before="40" w:after="120"/>
        <w:jc w:val="both"/>
        <w:rPr>
          <w:rFonts w:ascii="Arial" w:hAnsi="Arial" w:cs="Arial"/>
          <w:color w:val="000000"/>
          <w:sz w:val="24"/>
          <w:szCs w:val="24"/>
        </w:rPr>
      </w:pPr>
    </w:p>
    <w:p w14:paraId="5274DF88" w14:textId="77777777" w:rsidR="008F3BE5" w:rsidRPr="00745851" w:rsidRDefault="008F3BE5" w:rsidP="008F3BE5">
      <w:pPr>
        <w:pStyle w:val="2"/>
        <w:spacing w:before="40"/>
        <w:jc w:val="both"/>
        <w:rPr>
          <w:rFonts w:ascii="Arial" w:hAnsi="Arial" w:cs="Arial"/>
          <w:b/>
          <w:bCs/>
          <w:color w:val="000000"/>
          <w:sz w:val="24"/>
          <w:szCs w:val="24"/>
        </w:rPr>
      </w:pPr>
    </w:p>
    <w:p w14:paraId="68B05327" w14:textId="77777777" w:rsidR="008F3BE5" w:rsidRPr="00745851" w:rsidRDefault="008F3BE5" w:rsidP="008F3BE5">
      <w:pPr>
        <w:pStyle w:val="2"/>
        <w:jc w:val="both"/>
        <w:rPr>
          <w:rFonts w:ascii="Arial" w:hAnsi="Arial" w:cs="Arial"/>
          <w:b/>
          <w:bCs/>
          <w:color w:val="000000"/>
          <w:sz w:val="24"/>
          <w:szCs w:val="24"/>
        </w:rPr>
      </w:pPr>
      <w:r w:rsidRPr="00745851">
        <w:rPr>
          <w:rFonts w:ascii="Arial" w:hAnsi="Arial" w:cs="Arial"/>
          <w:b/>
          <w:bCs/>
          <w:color w:val="000000"/>
          <w:sz w:val="24"/>
          <w:szCs w:val="24"/>
        </w:rPr>
        <w:t xml:space="preserve">Hong Kong SFC Issues Circular on Simplified </w:t>
      </w:r>
      <w:proofErr w:type="spellStart"/>
      <w:r w:rsidRPr="00745851">
        <w:rPr>
          <w:rFonts w:ascii="Arial" w:hAnsi="Arial" w:cs="Arial"/>
          <w:b/>
          <w:bCs/>
          <w:color w:val="000000"/>
          <w:sz w:val="24"/>
          <w:szCs w:val="24"/>
        </w:rPr>
        <w:t>eDDA</w:t>
      </w:r>
      <w:proofErr w:type="spellEnd"/>
      <w:r w:rsidRPr="00745851">
        <w:rPr>
          <w:rFonts w:ascii="Arial" w:hAnsi="Arial" w:cs="Arial"/>
          <w:b/>
          <w:bCs/>
          <w:color w:val="000000"/>
          <w:sz w:val="24"/>
          <w:szCs w:val="24"/>
        </w:rPr>
        <w:t xml:space="preserve"> Deposit Risks for Internet Brokers and Virtual Asset Trading Platforms</w:t>
      </w:r>
    </w:p>
    <w:p w14:paraId="0AE5D84D" w14:textId="77777777" w:rsidR="008F3BE5" w:rsidRPr="00745851" w:rsidRDefault="008F3BE5" w:rsidP="008F3BE5">
      <w:pPr>
        <w:pStyle w:val="2"/>
        <w:spacing w:before="40" w:after="120"/>
        <w:jc w:val="both"/>
        <w:rPr>
          <w:rFonts w:ascii="Arial" w:hAnsi="Arial" w:cs="Arial"/>
          <w:b/>
          <w:bCs/>
          <w:color w:val="000000"/>
          <w:sz w:val="24"/>
          <w:szCs w:val="24"/>
        </w:rPr>
      </w:pPr>
    </w:p>
    <w:p w14:paraId="4F72DB7B" w14:textId="7B29F3E9" w:rsidR="008F3BE5" w:rsidRPr="00745851" w:rsidRDefault="008F3BE5" w:rsidP="008F3BE5">
      <w:pPr>
        <w:pStyle w:val="2"/>
        <w:spacing w:before="40" w:after="120"/>
        <w:jc w:val="both"/>
        <w:rPr>
          <w:rFonts w:ascii="Arial" w:hAnsi="Arial" w:cs="Arial"/>
          <w:color w:val="000000"/>
          <w:sz w:val="24"/>
          <w:szCs w:val="24"/>
        </w:rPr>
      </w:pPr>
      <w:r w:rsidRPr="00745851">
        <w:rPr>
          <w:rFonts w:ascii="Arial" w:hAnsi="Arial" w:cs="Arial"/>
          <w:color w:val="000000"/>
          <w:sz w:val="24"/>
          <w:szCs w:val="24"/>
        </w:rPr>
        <w:t xml:space="preserve">On 20 August 2026, the Hong Kong Securities and Futures Commission (SFC) issued a </w:t>
      </w:r>
      <w:hyperlink r:id="rId10" w:history="1">
        <w:r w:rsidRPr="00BF18E2">
          <w:rPr>
            <w:rStyle w:val="a5"/>
            <w:rFonts w:ascii="Arial" w:hAnsi="Arial" w:cs="Arial"/>
            <w:color w:val="E97132"/>
            <w:sz w:val="24"/>
            <w:szCs w:val="24"/>
          </w:rPr>
          <w:t>circular</w:t>
        </w:r>
      </w:hyperlink>
      <w:r w:rsidRPr="00745851">
        <w:rPr>
          <w:rFonts w:ascii="Arial" w:hAnsi="Arial" w:cs="Arial"/>
          <w:color w:val="000000"/>
          <w:sz w:val="24"/>
          <w:szCs w:val="24"/>
        </w:rPr>
        <w:t xml:space="preserve"> (reference </w:t>
      </w:r>
      <w:hyperlink r:id="rId11" w:history="1">
        <w:r w:rsidRPr="00BF18E2">
          <w:rPr>
            <w:rStyle w:val="a5"/>
            <w:rFonts w:ascii="Arial" w:hAnsi="Arial" w:cs="Arial"/>
            <w:color w:val="E97132"/>
            <w:sz w:val="24"/>
            <w:szCs w:val="24"/>
          </w:rPr>
          <w:t>SFO/IS/033/2026</w:t>
        </w:r>
      </w:hyperlink>
      <w:r w:rsidRPr="00745851">
        <w:rPr>
          <w:rFonts w:ascii="Arial" w:hAnsi="Arial" w:cs="Arial"/>
          <w:color w:val="000000"/>
          <w:sz w:val="24"/>
          <w:szCs w:val="24"/>
        </w:rPr>
        <w:t>) to licensed corporations, SFC-licensed virtual asset service providers and associated entities on mitigating risks in receiving client deposits through simplified Electronic Direct Debit Authorisation (</w:t>
      </w:r>
      <w:proofErr w:type="spellStart"/>
      <w:r w:rsidRPr="00745851">
        <w:rPr>
          <w:rFonts w:ascii="Arial" w:hAnsi="Arial" w:cs="Arial"/>
          <w:color w:val="000000"/>
          <w:sz w:val="24"/>
          <w:szCs w:val="24"/>
        </w:rPr>
        <w:t>eDDA</w:t>
      </w:r>
      <w:proofErr w:type="spellEnd"/>
      <w:r w:rsidRPr="00745851">
        <w:rPr>
          <w:rFonts w:ascii="Arial" w:hAnsi="Arial" w:cs="Arial"/>
          <w:color w:val="000000"/>
          <w:sz w:val="24"/>
          <w:szCs w:val="24"/>
        </w:rPr>
        <w:t>) arrangements under the Faster Payment System, with internet brokers and virtual asset trading platform operators the principal audience.</w:t>
      </w:r>
    </w:p>
    <w:p w14:paraId="045ACF22" w14:textId="2896DF11"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 xml:space="preserve">The structural point is where liability </w:t>
      </w:r>
      <w:proofErr w:type="spellStart"/>
      <w:r w:rsidRPr="00745851">
        <w:rPr>
          <w:rFonts w:ascii="Arial" w:hAnsi="Arial" w:cs="Arial"/>
          <w:color w:val="000000"/>
          <w:sz w:val="24"/>
          <w:szCs w:val="24"/>
        </w:rPr>
        <w:t>sits</w:t>
      </w:r>
      <w:proofErr w:type="spellEnd"/>
      <w:r w:rsidR="00061D4A" w:rsidRPr="00745851">
        <w:rPr>
          <w:rFonts w:ascii="Arial" w:hAnsi="Arial" w:cs="Arial"/>
          <w:color w:val="000000"/>
          <w:sz w:val="24"/>
          <w:szCs w:val="24"/>
        </w:rPr>
        <w:t xml:space="preserve"> </w:t>
      </w:r>
      <w:r w:rsidRPr="00745851">
        <w:rPr>
          <w:rFonts w:ascii="Arial" w:hAnsi="Arial" w:cs="Arial"/>
          <w:color w:val="000000"/>
          <w:sz w:val="24"/>
          <w:szCs w:val="24"/>
        </w:rPr>
        <w:t xml:space="preserve">under a simplified </w:t>
      </w:r>
      <w:proofErr w:type="spellStart"/>
      <w:r w:rsidRPr="00745851">
        <w:rPr>
          <w:rFonts w:ascii="Arial" w:hAnsi="Arial" w:cs="Arial"/>
          <w:color w:val="000000"/>
          <w:sz w:val="24"/>
          <w:szCs w:val="24"/>
        </w:rPr>
        <w:t>eDDA</w:t>
      </w:r>
      <w:proofErr w:type="spellEnd"/>
      <w:r w:rsidRPr="00745851">
        <w:rPr>
          <w:rFonts w:ascii="Arial" w:hAnsi="Arial" w:cs="Arial"/>
          <w:color w:val="000000"/>
          <w:sz w:val="24"/>
          <w:szCs w:val="24"/>
        </w:rPr>
        <w:t xml:space="preserve"> arrangement the licensed firm, not the client, initiates the setup request as payee on client-supplied information, and where the payer bank requires no confirmation from the account owner, the SFC states the firm "bears primary responsibility for ensuring that it has obtained proper authorisation from the bank account owner", a convenience purchased with firm-level liability reinforced by indemnities firms typically give their payee banks.</w:t>
      </w:r>
    </w:p>
    <w:p w14:paraId="2AC90FD6" w14:textId="77777777"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Two risk categories follow directly: impersonation and unauthorised access risk, where stolen personal and bank account information is used to initiate setup requests without the account owner’s knowledge, and indemnity and financial risk, where erroneous setup requests containing inaccurate client-supplied information expose the firm to bank claims.</w:t>
      </w:r>
    </w:p>
    <w:p w14:paraId="7E715F54" w14:textId="77777777"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The verification expectations are anchored to existing conduct obligations (paragraph 4.3 of the Code of Conduct and paragraph 11.10 of the VATP Guidelines) and are specific: where the payer bank requires no owner confirmation, firms should verify account ownership independently through a single small value transfer test checked against the firm’s own bank deposit records, not deposit records supplied by clients, with identification information in setup requests matched against the firm’s existing client records.</w:t>
      </w:r>
    </w:p>
    <w:p w14:paraId="5E630A82" w14:textId="77777777"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 xml:space="preserve">The red flag list deserves particular attention from platform operators: alongside repeated setup failures, deposits inconsistent with client profiles and suspicious deposits converted into virtual assets and withdrawn shortly after, the SFC flags a new setup request paired with the whitelisting of a new wallet address in either order, linking fiat entry through </w:t>
      </w:r>
      <w:proofErr w:type="spellStart"/>
      <w:r w:rsidRPr="00745851">
        <w:rPr>
          <w:rFonts w:ascii="Arial" w:hAnsi="Arial" w:cs="Arial"/>
          <w:color w:val="000000"/>
          <w:sz w:val="24"/>
          <w:szCs w:val="24"/>
        </w:rPr>
        <w:t>eDDA</w:t>
      </w:r>
      <w:proofErr w:type="spellEnd"/>
      <w:r w:rsidRPr="00745851">
        <w:rPr>
          <w:rFonts w:ascii="Arial" w:hAnsi="Arial" w:cs="Arial"/>
          <w:color w:val="000000"/>
          <w:sz w:val="24"/>
          <w:szCs w:val="24"/>
        </w:rPr>
        <w:t xml:space="preserve"> to virtual asset exit through withdrawals as a single fraud surface rather than separate controls, with reporting to the Joint Financial Intelligence Unit or the Anti-Deception Coordination Centre where warranted.</w:t>
      </w:r>
    </w:p>
    <w:p w14:paraId="102DE54C" w14:textId="4C8E79C0" w:rsidR="00745851" w:rsidRPr="00BF18E2" w:rsidRDefault="008F3BE5" w:rsidP="00BF18E2">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 xml:space="preserve">Read with the SFC’s November 2025 circular on layering activities, the supervisory direction is clear: deposit channels at brokers and virtual asset trading platforms are now a defined area of scrutiny, and firms should map their payer banks’ confirmation practices, read bank indemnities together with client agreements, embed the transfer test in onboarding flows and calibrate deposit </w:t>
      </w:r>
      <w:r w:rsidRPr="00745851">
        <w:rPr>
          <w:rFonts w:ascii="Arial" w:hAnsi="Arial" w:cs="Arial"/>
          <w:color w:val="000000"/>
          <w:sz w:val="24"/>
          <w:szCs w:val="24"/>
        </w:rPr>
        <w:lastRenderedPageBreak/>
        <w:t>limits and withholding periods to client risk profiles, or expect supervisory questions.</w:t>
      </w:r>
    </w:p>
    <w:p w14:paraId="2CCFF435"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12"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5C1B9829" w14:textId="77777777" w:rsidR="00745851" w:rsidRPr="00745851" w:rsidRDefault="00745851" w:rsidP="00BF18E2">
      <w:pPr>
        <w:pStyle w:val="2"/>
        <w:spacing w:before="40" w:after="120"/>
        <w:jc w:val="both"/>
        <w:rPr>
          <w:rFonts w:ascii="Arial" w:hAnsi="Arial" w:cs="Arial"/>
          <w:color w:val="000000"/>
          <w:sz w:val="24"/>
          <w:szCs w:val="24"/>
        </w:rPr>
      </w:pPr>
    </w:p>
    <w:p w14:paraId="72129E89" w14:textId="77777777" w:rsidR="008F3BE5" w:rsidRPr="00745851" w:rsidRDefault="008F3BE5" w:rsidP="008F3BE5">
      <w:pPr>
        <w:pStyle w:val="2"/>
        <w:spacing w:before="40"/>
        <w:jc w:val="both"/>
        <w:rPr>
          <w:rFonts w:ascii="Arial" w:hAnsi="Arial" w:cs="Arial"/>
          <w:b/>
          <w:bCs/>
          <w:color w:val="000000"/>
          <w:sz w:val="24"/>
          <w:szCs w:val="24"/>
        </w:rPr>
      </w:pPr>
    </w:p>
    <w:p w14:paraId="4F58E308" w14:textId="77777777" w:rsidR="008F3BE5" w:rsidRPr="00745851" w:rsidRDefault="008F3BE5" w:rsidP="008F3BE5">
      <w:pPr>
        <w:pStyle w:val="2"/>
        <w:jc w:val="both"/>
        <w:rPr>
          <w:rFonts w:ascii="Arial" w:hAnsi="Arial" w:cs="Arial"/>
          <w:b/>
          <w:bCs/>
          <w:color w:val="000000"/>
          <w:sz w:val="24"/>
          <w:szCs w:val="24"/>
        </w:rPr>
      </w:pPr>
      <w:r w:rsidRPr="00745851">
        <w:rPr>
          <w:rFonts w:ascii="Arial" w:hAnsi="Arial" w:cs="Arial"/>
          <w:b/>
          <w:bCs/>
          <w:color w:val="000000"/>
          <w:sz w:val="24"/>
          <w:szCs w:val="24"/>
        </w:rPr>
        <w:t>US CFTC Requests Comment on Listing Compute Derivatives Contracts as AI Computing Power Emerges as a Regulated Commodity Class</w:t>
      </w:r>
    </w:p>
    <w:p w14:paraId="7413C0FF" w14:textId="77777777" w:rsidR="008F3BE5" w:rsidRPr="00745851" w:rsidRDefault="008F3BE5" w:rsidP="008F3BE5">
      <w:pPr>
        <w:pStyle w:val="2"/>
        <w:spacing w:before="40" w:after="120"/>
        <w:jc w:val="both"/>
        <w:rPr>
          <w:rFonts w:ascii="Arial" w:hAnsi="Arial" w:cs="Arial"/>
          <w:b/>
          <w:bCs/>
          <w:color w:val="000000"/>
          <w:sz w:val="24"/>
          <w:szCs w:val="24"/>
        </w:rPr>
      </w:pPr>
    </w:p>
    <w:p w14:paraId="200A8E16" w14:textId="2EA7BD3E" w:rsidR="008F3BE5" w:rsidRPr="00745851" w:rsidRDefault="008F3BE5" w:rsidP="008F3BE5">
      <w:pPr>
        <w:pStyle w:val="2"/>
        <w:spacing w:before="40" w:after="120"/>
        <w:jc w:val="both"/>
        <w:rPr>
          <w:rFonts w:ascii="Arial" w:hAnsi="Arial" w:cs="Arial"/>
          <w:color w:val="000000"/>
          <w:sz w:val="24"/>
          <w:szCs w:val="24"/>
        </w:rPr>
      </w:pPr>
      <w:r w:rsidRPr="00745851">
        <w:rPr>
          <w:rFonts w:ascii="Arial" w:hAnsi="Arial" w:cs="Arial"/>
          <w:color w:val="000000"/>
          <w:sz w:val="24"/>
          <w:szCs w:val="24"/>
        </w:rPr>
        <w:t xml:space="preserve">On 19 August 2026, the CFTC issued a </w:t>
      </w:r>
      <w:hyperlink r:id="rId13" w:history="1">
        <w:r w:rsidRPr="00BF18E2">
          <w:rPr>
            <w:rStyle w:val="a5"/>
            <w:rFonts w:ascii="Arial" w:hAnsi="Arial" w:cs="Arial"/>
            <w:color w:val="E97132"/>
            <w:sz w:val="24"/>
            <w:szCs w:val="24"/>
          </w:rPr>
          <w:t>request for comment on compute derivatives</w:t>
        </w:r>
      </w:hyperlink>
      <w:r w:rsidRPr="00745851">
        <w:rPr>
          <w:rFonts w:ascii="Arial" w:hAnsi="Arial" w:cs="Arial"/>
          <w:color w:val="000000"/>
          <w:sz w:val="24"/>
          <w:szCs w:val="24"/>
        </w:rPr>
        <w:t xml:space="preserve">, published in the </w:t>
      </w:r>
      <w:hyperlink r:id="rId14" w:history="1">
        <w:r w:rsidRPr="00BF18E2">
          <w:rPr>
            <w:rStyle w:val="a5"/>
            <w:rFonts w:ascii="Arial" w:hAnsi="Arial" w:cs="Arial"/>
            <w:color w:val="E97132"/>
            <w:sz w:val="24"/>
            <w:szCs w:val="24"/>
          </w:rPr>
          <w:t>Federal Register</w:t>
        </w:r>
      </w:hyperlink>
      <w:r w:rsidRPr="00745851">
        <w:rPr>
          <w:rFonts w:ascii="Arial" w:hAnsi="Arial" w:cs="Arial"/>
          <w:color w:val="000000"/>
          <w:sz w:val="24"/>
          <w:szCs w:val="24"/>
        </w:rPr>
        <w:t xml:space="preserve"> on 21 August 2026 (RIN 3038-AF77), concerning derivatives contracts referencing the price of access to computing power, with comments due by 20 October 2026.</w:t>
      </w:r>
    </w:p>
    <w:p w14:paraId="4FF9B636" w14:textId="565B243E"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CFTC estimates that installed compute implies a gross service flow of US$430 billion to US$1.3 trillion per year, roughly 1.4 to 4.0 per cent of US GDP, while Chairman Selig calls compute the commodity of the intelligence economy and anchors the request in the White House AI Action Plan of July 2025 and Executive Order 14179, a derivatives regulator citing presidential AI strategy as context for a listing framework.</w:t>
      </w:r>
    </w:p>
    <w:p w14:paraId="39D015C0" w14:textId="77777777"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The contemplated underlier is access to rented compute capacity from hardware the purchaser does not own, such as the hourly rental price of compute from a B200 chip, or alternatively a stated volume of LLM inference tokens; the CFTC preliminarily expects most compute derivatives to be cash settled given the infrastructure challenges of physical delivery, drawing the historical parallel to electricity, a commodity that cannot be stored yet whose derivatives markets matured.</w:t>
      </w:r>
    </w:p>
    <w:p w14:paraId="7EDF424F" w14:textId="018A4315"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The manipulation problem sits at the centre</w:t>
      </w:r>
      <w:r w:rsidR="002940BA" w:rsidRPr="00745851">
        <w:rPr>
          <w:rFonts w:ascii="Arial" w:hAnsi="Arial" w:cs="Arial"/>
          <w:color w:val="000000"/>
          <w:sz w:val="24"/>
          <w:szCs w:val="24"/>
        </w:rPr>
        <w:t xml:space="preserve"> i.e.</w:t>
      </w:r>
      <w:r w:rsidRPr="00745851">
        <w:rPr>
          <w:rFonts w:ascii="Arial" w:hAnsi="Arial" w:cs="Arial"/>
          <w:color w:val="000000"/>
          <w:sz w:val="24"/>
          <w:szCs w:val="24"/>
        </w:rPr>
        <w:t xml:space="preserve"> under Core Principle 3 a designated contract market may list only contracts not readily susceptible to manipulation, yet in compute the parties best positioned to influence any reference price are the same concentrated group that supplies the capacity and administers the posted rates from which an index would be computed, so the viability of the entire product class rests on whether an index methodology can be governed against its own contributors.</w:t>
      </w:r>
    </w:p>
    <w:p w14:paraId="55FFCF8D" w14:textId="0EAF9D43"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The geopolitical dimension is treated as a first order settlement input rather than background</w:t>
      </w:r>
      <w:r w:rsidR="00B92A03" w:rsidRPr="00745851">
        <w:rPr>
          <w:rFonts w:ascii="Arial" w:hAnsi="Arial" w:cs="Arial"/>
          <w:color w:val="000000"/>
          <w:sz w:val="24"/>
          <w:szCs w:val="24"/>
        </w:rPr>
        <w:t>.</w:t>
      </w:r>
      <w:r w:rsidRPr="00745851">
        <w:rPr>
          <w:rFonts w:ascii="Arial" w:hAnsi="Arial" w:cs="Arial"/>
          <w:color w:val="000000"/>
          <w:sz w:val="24"/>
          <w:szCs w:val="24"/>
        </w:rPr>
        <w:t xml:space="preserve"> </w:t>
      </w:r>
      <w:r w:rsidR="00B92A03" w:rsidRPr="00745851">
        <w:rPr>
          <w:rFonts w:ascii="Arial" w:hAnsi="Arial" w:cs="Arial"/>
          <w:color w:val="000000"/>
          <w:sz w:val="24"/>
          <w:szCs w:val="24"/>
        </w:rPr>
        <w:t>C</w:t>
      </w:r>
      <w:r w:rsidRPr="00745851">
        <w:rPr>
          <w:rFonts w:ascii="Arial" w:hAnsi="Arial" w:cs="Arial"/>
          <w:color w:val="000000"/>
          <w:sz w:val="24"/>
          <w:szCs w:val="24"/>
        </w:rPr>
        <w:t>ompute capacity sits under export control regimes, national security review and semiconductor trade policy in a way agricultural and energy commodities do not, and the CFTC asks what disclosure considerations arise from offering retail participants a contract settling against "a geopolitically sensitive commodity", alongside AML and KYC questions for intermediaries building compute futures compliance programmes.</w:t>
      </w:r>
    </w:p>
    <w:p w14:paraId="51CA41FE" w14:textId="48444CF1"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 xml:space="preserve">The perpetual compute futures questions connect this request to the first CFTC-regulated bitcoin perpetual and the </w:t>
      </w:r>
      <w:r w:rsidR="00782285" w:rsidRPr="00745851">
        <w:rPr>
          <w:rFonts w:ascii="Arial" w:hAnsi="Arial" w:cs="Arial"/>
          <w:color w:val="000000"/>
          <w:sz w:val="24"/>
          <w:szCs w:val="24"/>
        </w:rPr>
        <w:t xml:space="preserve">US CFTC’s </w:t>
      </w:r>
      <w:r w:rsidRPr="00745851">
        <w:rPr>
          <w:rFonts w:ascii="Arial" w:hAnsi="Arial" w:cs="Arial"/>
          <w:color w:val="000000"/>
          <w:sz w:val="24"/>
          <w:szCs w:val="24"/>
        </w:rPr>
        <w:t>engagement on perpetuals for non-crypto assets</w:t>
      </w:r>
      <w:r w:rsidR="00B92A03" w:rsidRPr="00745851">
        <w:rPr>
          <w:rFonts w:ascii="Arial" w:hAnsi="Arial" w:cs="Arial"/>
          <w:color w:val="000000"/>
          <w:sz w:val="24"/>
          <w:szCs w:val="24"/>
        </w:rPr>
        <w:t>.</w:t>
      </w:r>
      <w:r w:rsidRPr="00745851">
        <w:rPr>
          <w:rFonts w:ascii="Arial" w:hAnsi="Arial" w:cs="Arial"/>
          <w:color w:val="000000"/>
          <w:sz w:val="24"/>
          <w:szCs w:val="24"/>
        </w:rPr>
        <w:t xml:space="preserve"> </w:t>
      </w:r>
      <w:r w:rsidR="00B92A03" w:rsidRPr="00745851">
        <w:rPr>
          <w:rFonts w:ascii="Arial" w:hAnsi="Arial" w:cs="Arial"/>
          <w:color w:val="000000"/>
          <w:sz w:val="24"/>
          <w:szCs w:val="24"/>
        </w:rPr>
        <w:t>A</w:t>
      </w:r>
      <w:r w:rsidRPr="00745851">
        <w:rPr>
          <w:rFonts w:ascii="Arial" w:hAnsi="Arial" w:cs="Arial"/>
          <w:color w:val="000000"/>
          <w:sz w:val="24"/>
          <w:szCs w:val="24"/>
        </w:rPr>
        <w:t xml:space="preserve"> funding rate mechanism born on offshore crypto venues is now contemplated as market structure for the commodity underpinning artificial intelligence, as clear a statement as exists of crypto market design migrating into the regulated mainstream.</w:t>
      </w:r>
    </w:p>
    <w:p w14:paraId="5EDBD106" w14:textId="12228187" w:rsidR="00745851" w:rsidRPr="00BF18E2" w:rsidRDefault="008F3BE5" w:rsidP="00BF18E2">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lastRenderedPageBreak/>
        <w:t>The record built through this consultation will shape how any compute contract submission is assessed against Core Principles 3, 4 and 5 and the Appendix C Guidance, so compute providers, AI developers, data centre operators and prospective index administrators have a sixty day window to shape the standards they will later be measured against, with empirical and data-driven input particularly encouraged.</w:t>
      </w:r>
    </w:p>
    <w:p w14:paraId="2AE687CB"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15"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787B3D2B" w14:textId="77777777" w:rsidR="00745851" w:rsidRPr="00745851" w:rsidRDefault="00745851" w:rsidP="00BF18E2">
      <w:pPr>
        <w:pStyle w:val="2"/>
        <w:spacing w:before="40" w:after="120"/>
        <w:jc w:val="both"/>
        <w:rPr>
          <w:rFonts w:ascii="Arial" w:hAnsi="Arial" w:cs="Arial"/>
          <w:color w:val="000000"/>
          <w:sz w:val="24"/>
          <w:szCs w:val="24"/>
        </w:rPr>
      </w:pPr>
    </w:p>
    <w:p w14:paraId="14AE8E5B" w14:textId="77777777" w:rsidR="008F3BE5" w:rsidRPr="00745851" w:rsidRDefault="008F3BE5" w:rsidP="008F3BE5">
      <w:pPr>
        <w:pStyle w:val="2"/>
        <w:spacing w:before="40"/>
        <w:jc w:val="both"/>
        <w:rPr>
          <w:rFonts w:ascii="Arial" w:hAnsi="Arial" w:cs="Arial"/>
          <w:b/>
          <w:bCs/>
          <w:color w:val="000000"/>
          <w:sz w:val="24"/>
          <w:szCs w:val="24"/>
        </w:rPr>
      </w:pPr>
    </w:p>
    <w:p w14:paraId="0797F7DA" w14:textId="77777777" w:rsidR="008F3BE5" w:rsidRPr="00745851" w:rsidRDefault="008F3BE5" w:rsidP="008F3BE5">
      <w:pPr>
        <w:pStyle w:val="2"/>
        <w:jc w:val="both"/>
        <w:rPr>
          <w:rFonts w:ascii="Arial" w:hAnsi="Arial" w:cs="Arial"/>
          <w:b/>
          <w:bCs/>
          <w:color w:val="000000"/>
          <w:sz w:val="24"/>
          <w:szCs w:val="24"/>
        </w:rPr>
      </w:pPr>
      <w:r w:rsidRPr="00745851">
        <w:rPr>
          <w:rFonts w:ascii="Arial" w:hAnsi="Arial" w:cs="Arial"/>
          <w:b/>
          <w:bCs/>
          <w:color w:val="000000"/>
          <w:sz w:val="24"/>
          <w:szCs w:val="24"/>
        </w:rPr>
        <w:t>US CFTC | Chairman Selig Outlines Crypto and Compute Agenda at White House Innovation Meeting and Confronts State Challenges to Prediction Markets</w:t>
      </w:r>
    </w:p>
    <w:p w14:paraId="0DFF3403" w14:textId="77777777" w:rsidR="008F3BE5" w:rsidRPr="00745851" w:rsidRDefault="008F3BE5" w:rsidP="008F3BE5">
      <w:pPr>
        <w:pStyle w:val="2"/>
        <w:spacing w:before="40" w:after="120"/>
        <w:jc w:val="both"/>
        <w:rPr>
          <w:rFonts w:ascii="Arial" w:hAnsi="Arial" w:cs="Arial"/>
          <w:b/>
          <w:bCs/>
          <w:color w:val="000000"/>
          <w:sz w:val="24"/>
          <w:szCs w:val="24"/>
        </w:rPr>
      </w:pPr>
    </w:p>
    <w:p w14:paraId="6C0C21E9" w14:textId="34DFEFCC" w:rsidR="008F3BE5" w:rsidRPr="00745851" w:rsidRDefault="008F3BE5" w:rsidP="008F3BE5">
      <w:pPr>
        <w:pStyle w:val="2"/>
        <w:spacing w:before="40" w:after="120"/>
        <w:jc w:val="both"/>
        <w:rPr>
          <w:rFonts w:ascii="Arial" w:hAnsi="Arial" w:cs="Arial"/>
          <w:color w:val="000000"/>
          <w:sz w:val="24"/>
          <w:szCs w:val="24"/>
        </w:rPr>
      </w:pPr>
      <w:r w:rsidRPr="00745851">
        <w:rPr>
          <w:rFonts w:ascii="Arial" w:hAnsi="Arial" w:cs="Arial"/>
          <w:color w:val="000000"/>
          <w:sz w:val="24"/>
          <w:szCs w:val="24"/>
        </w:rPr>
        <w:t xml:space="preserve">On 19 August 2026, CFTC Chairman Michael S. Selig delivered </w:t>
      </w:r>
      <w:hyperlink r:id="rId16" w:history="1">
        <w:r w:rsidRPr="00BF18E2">
          <w:rPr>
            <w:rStyle w:val="a5"/>
            <w:rFonts w:ascii="Arial" w:hAnsi="Arial" w:cs="Arial"/>
            <w:color w:val="E97132"/>
            <w:sz w:val="24"/>
            <w:szCs w:val="24"/>
          </w:rPr>
          <w:t>remarks at a White House innovation meeting</w:t>
        </w:r>
      </w:hyperlink>
      <w:r w:rsidRPr="00745851">
        <w:rPr>
          <w:rFonts w:ascii="Arial" w:hAnsi="Arial" w:cs="Arial"/>
          <w:color w:val="000000"/>
          <w:sz w:val="24"/>
          <w:szCs w:val="24"/>
        </w:rPr>
        <w:t xml:space="preserve"> hosted by President Trump with technology and crypto industry leaders, mapping the CFTC’s agenda across crypto, compute and prediction markets.</w:t>
      </w:r>
    </w:p>
    <w:p w14:paraId="287DDEEF" w14:textId="1FD0B384"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The administration’s digital asset record as Selig presents declar</w:t>
      </w:r>
      <w:r w:rsidR="00B92A03" w:rsidRPr="00745851">
        <w:rPr>
          <w:rFonts w:ascii="Arial" w:hAnsi="Arial" w:cs="Arial"/>
          <w:color w:val="000000"/>
          <w:sz w:val="24"/>
          <w:szCs w:val="24"/>
        </w:rPr>
        <w:t>es</w:t>
      </w:r>
      <w:r w:rsidRPr="00745851">
        <w:rPr>
          <w:rFonts w:ascii="Arial" w:hAnsi="Arial" w:cs="Arial"/>
          <w:color w:val="000000"/>
          <w:sz w:val="24"/>
          <w:szCs w:val="24"/>
        </w:rPr>
        <w:t xml:space="preserve"> that "the era of political lawfare, de-banking, and regulation by enforcement is over", he credited the administration with codifying the GENIUS Act, establishing a strategic bitcoin reserve, drawing a clear line between crypto securities and commodities and launching the first US crypto perpetual contract.</w:t>
      </w:r>
    </w:p>
    <w:p w14:paraId="7FDE30E4" w14:textId="24839683" w:rsidR="008F3BE5" w:rsidRPr="00745851" w:rsidRDefault="008F3BE5"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Compute received its own billing as "digital oil"</w:t>
      </w:r>
      <w:r w:rsidR="00B92A03" w:rsidRPr="00745851">
        <w:rPr>
          <w:rFonts w:ascii="Arial" w:hAnsi="Arial" w:cs="Arial"/>
          <w:color w:val="000000"/>
          <w:sz w:val="24"/>
          <w:szCs w:val="24"/>
        </w:rPr>
        <w:t>.</w:t>
      </w:r>
      <w:r w:rsidRPr="00745851">
        <w:rPr>
          <w:rFonts w:ascii="Arial" w:hAnsi="Arial" w:cs="Arial"/>
          <w:color w:val="000000"/>
          <w:sz w:val="24"/>
          <w:szCs w:val="24"/>
        </w:rPr>
        <w:t xml:space="preserve"> Selig confirmed he is working with Commerce Secretary Lutnick to make America "the compute capital of the world", describing compute as possibly the most important commodity of our time, on the same day the CFTC issued its request for comment on compute derivatives (covered separately in this issue).</w:t>
      </w:r>
    </w:p>
    <w:p w14:paraId="0A069244" w14:textId="002A05F1" w:rsidR="008F3BE5" w:rsidRPr="00745851" w:rsidRDefault="00B92A03" w:rsidP="008F3BE5">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 xml:space="preserve">In </w:t>
      </w:r>
      <w:r w:rsidR="008F3BE5" w:rsidRPr="00745851">
        <w:rPr>
          <w:rFonts w:ascii="Arial" w:hAnsi="Arial" w:cs="Arial"/>
          <w:color w:val="000000"/>
          <w:sz w:val="24"/>
          <w:szCs w:val="24"/>
        </w:rPr>
        <w:t xml:space="preserve">July 2026 the New York Attorney General sued Kalshi, a CFTC designated contract market, as an unlicensed gambling operator, the CFTC responded on 11 August 2026 with an emergency order directing Kalshi to continue providing its event contracts in the state, and operator Novig has filed pre-emptive suits against New York and three other states, a live federal </w:t>
      </w:r>
      <w:r w:rsidR="00A4181D" w:rsidRPr="00745851">
        <w:rPr>
          <w:rFonts w:ascii="Arial" w:hAnsi="Arial" w:cs="Arial"/>
          <w:color w:val="000000"/>
          <w:sz w:val="24"/>
          <w:szCs w:val="24"/>
        </w:rPr>
        <w:t>pre-emption</w:t>
      </w:r>
      <w:r w:rsidR="008F3BE5" w:rsidRPr="00745851">
        <w:rPr>
          <w:rFonts w:ascii="Arial" w:hAnsi="Arial" w:cs="Arial"/>
          <w:color w:val="000000"/>
          <w:sz w:val="24"/>
          <w:szCs w:val="24"/>
        </w:rPr>
        <w:t xml:space="preserve"> contest that will be resolved by courts, not speeches.</w:t>
      </w:r>
    </w:p>
    <w:p w14:paraId="0721D39E" w14:textId="6BEE470B" w:rsidR="00745851" w:rsidRPr="00BF18E2" w:rsidRDefault="008F3BE5" w:rsidP="00BF18E2">
      <w:pPr>
        <w:pStyle w:val="2"/>
        <w:numPr>
          <w:ilvl w:val="0"/>
          <w:numId w:val="3"/>
        </w:numPr>
        <w:spacing w:before="40" w:after="120"/>
        <w:jc w:val="both"/>
        <w:rPr>
          <w:rFonts w:ascii="Arial" w:hAnsi="Arial" w:cs="Arial"/>
          <w:color w:val="000000"/>
          <w:sz w:val="24"/>
          <w:szCs w:val="24"/>
        </w:rPr>
      </w:pPr>
      <w:r w:rsidRPr="00745851">
        <w:rPr>
          <w:rFonts w:ascii="Arial" w:hAnsi="Arial" w:cs="Arial"/>
          <w:color w:val="000000"/>
          <w:sz w:val="24"/>
          <w:szCs w:val="24"/>
        </w:rPr>
        <w:t>On legislation, Selig confirmed the CFTC stands ready to implement the CLARITY Act once signed and will "use every tool available" in the meantime, previewing the regulatory roadmap he presented the following day at the Innovation Advisory Committee’s inaugural meeting (covered separately in this issue), whose more than thirty members include senior executives of Robinhood, Nasdaq and CME.</w:t>
      </w:r>
    </w:p>
    <w:p w14:paraId="044FF90C"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17"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3E01EDF3" w14:textId="77777777" w:rsidR="00745851" w:rsidRPr="00745851" w:rsidRDefault="00745851" w:rsidP="00BF18E2">
      <w:pPr>
        <w:pStyle w:val="2"/>
        <w:spacing w:before="40" w:after="120"/>
        <w:jc w:val="both"/>
        <w:rPr>
          <w:rFonts w:ascii="Arial" w:hAnsi="Arial" w:cs="Arial"/>
          <w:color w:val="000000"/>
          <w:sz w:val="24"/>
          <w:szCs w:val="24"/>
        </w:rPr>
      </w:pPr>
    </w:p>
    <w:p w14:paraId="66246E87" w14:textId="77777777" w:rsidR="008F3BE5" w:rsidRPr="00745851" w:rsidRDefault="008F3BE5" w:rsidP="008F3BE5">
      <w:pPr>
        <w:pStyle w:val="2"/>
        <w:spacing w:before="40" w:after="120"/>
        <w:jc w:val="both"/>
        <w:rPr>
          <w:rFonts w:ascii="Arial" w:hAnsi="Arial" w:cs="Arial"/>
          <w:color w:val="000000"/>
          <w:sz w:val="24"/>
          <w:szCs w:val="24"/>
        </w:rPr>
      </w:pPr>
    </w:p>
    <w:p w14:paraId="02BDE05F" w14:textId="77777777" w:rsidR="008F3BE5" w:rsidRPr="00745851" w:rsidRDefault="008F3BE5" w:rsidP="008F3BE5">
      <w:pPr>
        <w:pStyle w:val="2"/>
        <w:spacing w:before="40" w:after="120"/>
        <w:jc w:val="both"/>
        <w:rPr>
          <w:rFonts w:ascii="Arial" w:hAnsi="Arial" w:cs="Arial"/>
          <w:b/>
          <w:bCs/>
          <w:color w:val="000000"/>
          <w:sz w:val="24"/>
          <w:szCs w:val="24"/>
        </w:rPr>
      </w:pPr>
    </w:p>
    <w:p w14:paraId="04B1A75B" w14:textId="2DDC6CC7"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lastRenderedPageBreak/>
        <w:t>US SEC Proposes Regulation Crypto Assets With US$75 Million Fundraising Exemption, US$5 Million Startup Exemption and Investment Contract Safe Harbor</w:t>
      </w:r>
    </w:p>
    <w:p w14:paraId="2E6DF16D" w14:textId="6732AE1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18 August 2026, the United States Securities and Exchange Commission (SEC) proposed </w:t>
      </w:r>
      <w:hyperlink r:id="rId18" w:history="1">
        <w:r w:rsidR="00F6554E" w:rsidRPr="00BF18E2">
          <w:rPr>
            <w:rStyle w:val="a5"/>
            <w:rFonts w:ascii="Arial" w:hAnsi="Arial" w:cs="Arial"/>
            <w:color w:val="E97132"/>
            <w:sz w:val="24"/>
            <w:szCs w:val="24"/>
          </w:rPr>
          <w:t>Statement on Regulation Crypto Assets</w:t>
        </w:r>
      </w:hyperlink>
      <w:r w:rsidRPr="00745851">
        <w:rPr>
          <w:rFonts w:ascii="Arial" w:hAnsi="Arial" w:cs="Arial"/>
          <w:color w:val="000000"/>
          <w:sz w:val="24"/>
          <w:szCs w:val="24"/>
        </w:rPr>
        <w:t xml:space="preserve">, the </w:t>
      </w:r>
      <w:r w:rsidR="00782285" w:rsidRPr="00745851">
        <w:rPr>
          <w:rFonts w:ascii="Arial" w:hAnsi="Arial" w:cs="Arial"/>
          <w:color w:val="000000"/>
          <w:sz w:val="24"/>
          <w:szCs w:val="24"/>
        </w:rPr>
        <w:t xml:space="preserve">US SEC's </w:t>
      </w:r>
      <w:r w:rsidRPr="00745851">
        <w:rPr>
          <w:rFonts w:ascii="Arial" w:hAnsi="Arial" w:cs="Arial"/>
          <w:color w:val="000000"/>
          <w:sz w:val="24"/>
          <w:szCs w:val="24"/>
        </w:rPr>
        <w:t>first formal crypto offering rulemaking, creating a tailored securities offering framework for investment contracts involving non-security crypto assets.</w:t>
      </w:r>
    </w:p>
    <w:p w14:paraId="4AD3B23F" w14:textId="1EB69628"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402-page proposing release adding a new Part 228 to Title 17 CFR: a US$5 million startup exemption over four years, a US$75 million-per-12-months fundraising exemption, and a conditional investment contract safe harbo</w:t>
      </w:r>
      <w:r w:rsidR="00A4181D" w:rsidRPr="00745851">
        <w:rPr>
          <w:rFonts w:ascii="Arial" w:hAnsi="Arial" w:cs="Arial"/>
          <w:color w:val="000000"/>
          <w:sz w:val="24"/>
          <w:szCs w:val="24"/>
        </w:rPr>
        <w:t>u</w:t>
      </w:r>
      <w:r w:rsidRPr="00745851">
        <w:rPr>
          <w:rFonts w:ascii="Arial" w:hAnsi="Arial" w:cs="Arial"/>
          <w:color w:val="000000"/>
          <w:sz w:val="24"/>
          <w:szCs w:val="24"/>
        </w:rPr>
        <w:t>r</w:t>
      </w:r>
      <w:r w:rsidR="00A4181D" w:rsidRPr="00745851">
        <w:rPr>
          <w:rFonts w:ascii="Arial" w:hAnsi="Arial" w:cs="Arial"/>
          <w:color w:val="000000"/>
          <w:sz w:val="24"/>
          <w:szCs w:val="24"/>
        </w:rPr>
        <w:t xml:space="preserve">, </w:t>
      </w:r>
      <w:r w:rsidRPr="00745851">
        <w:rPr>
          <w:rFonts w:ascii="Arial" w:hAnsi="Arial" w:cs="Arial"/>
          <w:color w:val="000000"/>
          <w:sz w:val="24"/>
          <w:szCs w:val="24"/>
        </w:rPr>
        <w:t>calibrated deliberately above Regulation Crowdfunding's US$5m cap and Regulation A Tier 2's US$75m ceiling, but with disclosure built for token economics rather than share capital.</w:t>
      </w:r>
    </w:p>
    <w:p w14:paraId="3669F7F3" w14:textId="5DAB358D"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safe </w:t>
      </w:r>
      <w:proofErr w:type="spellStart"/>
      <w:r w:rsidRPr="00745851">
        <w:rPr>
          <w:rFonts w:ascii="Arial" w:hAnsi="Arial" w:cs="Arial"/>
          <w:color w:val="000000"/>
          <w:sz w:val="24"/>
          <w:szCs w:val="24"/>
        </w:rPr>
        <w:t>harbor</w:t>
      </w:r>
      <w:proofErr w:type="spellEnd"/>
      <w:r w:rsidRPr="00745851">
        <w:rPr>
          <w:rFonts w:ascii="Arial" w:hAnsi="Arial" w:cs="Arial"/>
          <w:color w:val="000000"/>
          <w:sz w:val="24"/>
          <w:szCs w:val="24"/>
        </w:rPr>
        <w:t xml:space="preserve"> answers the question that has shadowed token offerings since the DAO Report: a non-security crypto asset ceases to be subject to an investment contract once the issuer certifies that all promised "essential managerial efforts" have ended locating the exit in Howey's own logic (the security is the contract, not the asset) rather than creating a new legal test.</w:t>
      </w:r>
    </w:p>
    <w:p w14:paraId="1A59EFAF" w14:textId="77777777"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Chairman Atkins frames the departure in unusually blunt terms for a regulator: the prior approach "actively undermined capital formation... in the form of regulation by enforcement and disingenuous offers to 'come in and register'", applying 1930s-era rules to crypto assets in a "square peg in a round hole" fashion that drove investment offshore.</w:t>
      </w:r>
    </w:p>
    <w:p w14:paraId="074CCE37" w14:textId="77777777"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State-law </w:t>
      </w:r>
      <w:proofErr w:type="spellStart"/>
      <w:r w:rsidRPr="00745851">
        <w:rPr>
          <w:rFonts w:ascii="Arial" w:hAnsi="Arial" w:cs="Arial"/>
          <w:color w:val="000000"/>
          <w:sz w:val="24"/>
          <w:szCs w:val="24"/>
        </w:rPr>
        <w:t>preemption</w:t>
      </w:r>
      <w:proofErr w:type="spellEnd"/>
      <w:r w:rsidRPr="00745851">
        <w:rPr>
          <w:rFonts w:ascii="Arial" w:hAnsi="Arial" w:cs="Arial"/>
          <w:color w:val="000000"/>
          <w:sz w:val="24"/>
          <w:szCs w:val="24"/>
        </w:rPr>
        <w:t xml:space="preserve"> is the structural cleanup nobody else could deliver: the proposal would </w:t>
      </w:r>
      <w:proofErr w:type="spellStart"/>
      <w:r w:rsidRPr="00745851">
        <w:rPr>
          <w:rFonts w:ascii="Arial" w:hAnsi="Arial" w:cs="Arial"/>
          <w:color w:val="000000"/>
          <w:sz w:val="24"/>
          <w:szCs w:val="24"/>
        </w:rPr>
        <w:t>preempt</w:t>
      </w:r>
      <w:proofErr w:type="spellEnd"/>
      <w:r w:rsidRPr="00745851">
        <w:rPr>
          <w:rFonts w:ascii="Arial" w:hAnsi="Arial" w:cs="Arial"/>
          <w:color w:val="000000"/>
          <w:sz w:val="24"/>
          <w:szCs w:val="24"/>
        </w:rPr>
        <w:t xml:space="preserve"> the fifty-state blue-sky overlay for exempt offerings and extend that </w:t>
      </w:r>
      <w:proofErr w:type="spellStart"/>
      <w:r w:rsidRPr="00745851">
        <w:rPr>
          <w:rFonts w:ascii="Arial" w:hAnsi="Arial" w:cs="Arial"/>
          <w:color w:val="000000"/>
          <w:sz w:val="24"/>
          <w:szCs w:val="24"/>
        </w:rPr>
        <w:t>preemption</w:t>
      </w:r>
      <w:proofErr w:type="spellEnd"/>
      <w:r w:rsidRPr="00745851">
        <w:rPr>
          <w:rFonts w:ascii="Arial" w:hAnsi="Arial" w:cs="Arial"/>
          <w:color w:val="000000"/>
          <w:sz w:val="24"/>
          <w:szCs w:val="24"/>
        </w:rPr>
        <w:t xml:space="preserve"> to certain secondary market transactions, removing the aftermarket uncertainty that made even compliant primary offerings hard to build on.</w:t>
      </w:r>
    </w:p>
    <w:p w14:paraId="288FCBF4" w14:textId="0C3244D5"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lineage is explicit and matters for durability: Atkins credits Commissioner Peirce's 2020 "Running on Empty" safe </w:t>
      </w:r>
      <w:proofErr w:type="spellStart"/>
      <w:r w:rsidRPr="00745851">
        <w:rPr>
          <w:rFonts w:ascii="Arial" w:hAnsi="Arial" w:cs="Arial"/>
          <w:color w:val="000000"/>
          <w:sz w:val="24"/>
          <w:szCs w:val="24"/>
        </w:rPr>
        <w:t>harbor</w:t>
      </w:r>
      <w:proofErr w:type="spellEnd"/>
      <w:r w:rsidRPr="00745851">
        <w:rPr>
          <w:rFonts w:ascii="Arial" w:hAnsi="Arial" w:cs="Arial"/>
          <w:color w:val="000000"/>
          <w:sz w:val="24"/>
          <w:szCs w:val="24"/>
        </w:rPr>
        <w:t xml:space="preserve"> proposal as the origin of today's rulemaking, while stating that "legislation remains indispensable" to protect the framework from being unwound by "a future rogue regulator"</w:t>
      </w:r>
      <w:r w:rsidR="00B92A03" w:rsidRPr="00745851">
        <w:rPr>
          <w:rFonts w:ascii="Arial" w:hAnsi="Arial" w:cs="Arial"/>
          <w:color w:val="000000"/>
          <w:sz w:val="24"/>
          <w:szCs w:val="24"/>
        </w:rPr>
        <w:t xml:space="preserve">, </w:t>
      </w:r>
      <w:r w:rsidRPr="00745851">
        <w:rPr>
          <w:rFonts w:ascii="Arial" w:hAnsi="Arial" w:cs="Arial"/>
          <w:color w:val="000000"/>
          <w:sz w:val="24"/>
          <w:szCs w:val="24"/>
        </w:rPr>
        <w:t>an explicit SEC endorsement of the CLARITY Act as the backstop this rulemaking cannot provide alone.</w:t>
      </w:r>
    </w:p>
    <w:p w14:paraId="6F975B03" w14:textId="7F87545A" w:rsidR="00745851" w:rsidRPr="00BF18E2" w:rsidRDefault="00000000" w:rsidP="00BF18E2">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Comments are due 60 days after Federal Register publication, and issuers relying on either exemption remain fully subject to antifraud and anti-manipulation provisions throughout</w:t>
      </w:r>
      <w:r w:rsidR="00B92A03" w:rsidRPr="00745851">
        <w:rPr>
          <w:rFonts w:ascii="Arial" w:hAnsi="Arial" w:cs="Arial"/>
          <w:color w:val="000000"/>
          <w:sz w:val="24"/>
          <w:szCs w:val="24"/>
        </w:rPr>
        <w:t>,</w:t>
      </w:r>
      <w:r w:rsidRPr="00745851">
        <w:rPr>
          <w:rFonts w:ascii="Arial" w:hAnsi="Arial" w:cs="Arial"/>
          <w:color w:val="000000"/>
          <w:sz w:val="24"/>
          <w:szCs w:val="24"/>
        </w:rPr>
        <w:t xml:space="preserve"> the exemptions relieve registration, not honesty.</w:t>
      </w:r>
    </w:p>
    <w:p w14:paraId="2703E9B7"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19"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2D7A2FA4" w14:textId="77777777" w:rsidR="00745851" w:rsidRPr="00BF18E2" w:rsidRDefault="00745851" w:rsidP="00BF18E2">
      <w:pPr>
        <w:spacing w:after="100"/>
        <w:jc w:val="both"/>
        <w:rPr>
          <w:rFonts w:ascii="Arial" w:hAnsi="Arial" w:cs="Arial"/>
          <w:sz w:val="24"/>
          <w:szCs w:val="24"/>
          <w:lang w:val="ru-RU"/>
        </w:rPr>
      </w:pPr>
    </w:p>
    <w:p w14:paraId="3020D2B4" w14:textId="77777777" w:rsidR="00DD338A" w:rsidRPr="00745851" w:rsidRDefault="00DD338A" w:rsidP="008F3BE5">
      <w:pPr>
        <w:pStyle w:val="2"/>
        <w:spacing w:before="40" w:after="120"/>
        <w:jc w:val="both"/>
        <w:rPr>
          <w:rFonts w:ascii="Arial" w:hAnsi="Arial" w:cs="Arial"/>
          <w:b/>
          <w:bCs/>
          <w:color w:val="000000"/>
          <w:sz w:val="24"/>
          <w:szCs w:val="24"/>
        </w:rPr>
      </w:pPr>
    </w:p>
    <w:p w14:paraId="1C21550E" w14:textId="61846B9A"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 xml:space="preserve">US SEC | Former </w:t>
      </w:r>
      <w:proofErr w:type="spellStart"/>
      <w:r w:rsidRPr="00745851">
        <w:rPr>
          <w:rFonts w:ascii="Arial" w:hAnsi="Arial" w:cs="Arial"/>
          <w:b/>
          <w:bCs/>
          <w:color w:val="000000"/>
          <w:sz w:val="24"/>
          <w:szCs w:val="24"/>
        </w:rPr>
        <w:t>Tricolor</w:t>
      </w:r>
      <w:proofErr w:type="spellEnd"/>
      <w:r w:rsidRPr="00745851">
        <w:rPr>
          <w:rFonts w:ascii="Arial" w:hAnsi="Arial" w:cs="Arial"/>
          <w:b/>
          <w:bCs/>
          <w:color w:val="000000"/>
          <w:sz w:val="24"/>
          <w:szCs w:val="24"/>
        </w:rPr>
        <w:t xml:space="preserve"> Executives Charged over Alleged US$1.9 Billion ABS Fraud</w:t>
      </w:r>
    </w:p>
    <w:p w14:paraId="45C8B25B" w14:textId="7777777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18 August 2026, the SEC commenced </w:t>
      </w:r>
      <w:hyperlink r:id="rId20" w:history="1">
        <w:r w:rsidR="00F6554E" w:rsidRPr="00BF18E2">
          <w:rPr>
            <w:rStyle w:val="a5"/>
            <w:rFonts w:ascii="Arial" w:hAnsi="Arial" w:cs="Arial"/>
            <w:color w:val="E97132"/>
            <w:sz w:val="24"/>
            <w:szCs w:val="24"/>
          </w:rPr>
          <w:t>civil enforcement proceedings</w:t>
        </w:r>
      </w:hyperlink>
      <w:r w:rsidRPr="00745851">
        <w:rPr>
          <w:rFonts w:ascii="Arial" w:hAnsi="Arial" w:cs="Arial"/>
          <w:color w:val="000000"/>
          <w:sz w:val="24"/>
          <w:szCs w:val="24"/>
        </w:rPr>
        <w:t xml:space="preserve"> in the US District Court for the Southern District of New York against three former senior </w:t>
      </w:r>
      <w:r w:rsidRPr="00745851">
        <w:rPr>
          <w:rFonts w:ascii="Arial" w:hAnsi="Arial" w:cs="Arial"/>
          <w:color w:val="000000"/>
          <w:sz w:val="24"/>
          <w:szCs w:val="24"/>
        </w:rPr>
        <w:lastRenderedPageBreak/>
        <w:t xml:space="preserve">executives of </w:t>
      </w:r>
      <w:proofErr w:type="spellStart"/>
      <w:r w:rsidRPr="00745851">
        <w:rPr>
          <w:rFonts w:ascii="Arial" w:hAnsi="Arial" w:cs="Arial"/>
          <w:color w:val="000000"/>
          <w:sz w:val="24"/>
          <w:szCs w:val="24"/>
        </w:rPr>
        <w:t>Tricolor</w:t>
      </w:r>
      <w:proofErr w:type="spellEnd"/>
      <w:r w:rsidRPr="00745851">
        <w:rPr>
          <w:rFonts w:ascii="Arial" w:hAnsi="Arial" w:cs="Arial"/>
          <w:color w:val="000000"/>
          <w:sz w:val="24"/>
          <w:szCs w:val="24"/>
        </w:rPr>
        <w:t xml:space="preserve"> Holdings, LLC, alleging a scheme involving double-pledging of subprime auto loan receivables and manipulation of collateral and servicing data.</w:t>
      </w:r>
    </w:p>
    <w:p w14:paraId="3F6F36B5" w14:textId="77777777"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mechanics are old-fashioned fraud wearing a securitisation wrapper: double-pledging of the same subprime auto loan receivables across multiple asset-backed offerings, with delinquent, defaulted or outright fictitious loans allegedly booked as eligible collateral or reported as current across 14 ABS offerings that raised over US$1.9 billion between 2013 and 2025.</w:t>
      </w:r>
    </w:p>
    <w:p w14:paraId="28929BF1" w14:textId="05BBEAA6"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alleged concealment reached into the data layer itself: loan identifiers, delinquency information, borrowing-base reports and monthly servicing reports were allegedly altered as </w:t>
      </w:r>
      <w:proofErr w:type="spellStart"/>
      <w:r w:rsidRPr="00745851">
        <w:rPr>
          <w:rFonts w:ascii="Arial" w:hAnsi="Arial" w:cs="Arial"/>
          <w:color w:val="000000"/>
          <w:sz w:val="24"/>
          <w:szCs w:val="24"/>
        </w:rPr>
        <w:t>Tricolor</w:t>
      </w:r>
      <w:proofErr w:type="spellEnd"/>
      <w:r w:rsidRPr="00745851">
        <w:rPr>
          <w:rFonts w:ascii="Arial" w:hAnsi="Arial" w:cs="Arial"/>
          <w:color w:val="000000"/>
          <w:sz w:val="24"/>
          <w:szCs w:val="24"/>
        </w:rPr>
        <w:t xml:space="preserve"> came under liquidity and covenant pressure</w:t>
      </w:r>
      <w:r w:rsidR="00B92A03" w:rsidRPr="00745851">
        <w:rPr>
          <w:rFonts w:ascii="Arial" w:hAnsi="Arial" w:cs="Arial"/>
          <w:color w:val="000000"/>
          <w:sz w:val="24"/>
          <w:szCs w:val="24"/>
        </w:rPr>
        <w:t>,</w:t>
      </w:r>
      <w:r w:rsidRPr="00745851">
        <w:rPr>
          <w:rFonts w:ascii="Arial" w:hAnsi="Arial" w:cs="Arial"/>
          <w:color w:val="000000"/>
          <w:sz w:val="24"/>
          <w:szCs w:val="24"/>
        </w:rPr>
        <w:t xml:space="preserve"> a collateral gap independently estimated at US$675–800 million by the bankruptcy trustee's forensic firm.</w:t>
      </w:r>
    </w:p>
    <w:p w14:paraId="1B752C64" w14:textId="77777777"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collapse followed a predictable sequence once lenders looked closely: discrepancies surfaced in August 2025, double-pledging was detected, funding was pulled, and </w:t>
      </w:r>
      <w:proofErr w:type="spellStart"/>
      <w:r w:rsidRPr="00745851">
        <w:rPr>
          <w:rFonts w:ascii="Arial" w:hAnsi="Arial" w:cs="Arial"/>
          <w:color w:val="000000"/>
          <w:sz w:val="24"/>
          <w:szCs w:val="24"/>
        </w:rPr>
        <w:t>Tricolor</w:t>
      </w:r>
      <w:proofErr w:type="spellEnd"/>
      <w:r w:rsidRPr="00745851">
        <w:rPr>
          <w:rFonts w:ascii="Arial" w:hAnsi="Arial" w:cs="Arial"/>
          <w:color w:val="000000"/>
          <w:sz w:val="24"/>
          <w:szCs w:val="24"/>
        </w:rPr>
        <w:t xml:space="preserve"> filed Chapter 7 within weeks, on 10 September 2025, leaving roughly US$945.4 million in principal outstanding across seven offerings.</w:t>
      </w:r>
    </w:p>
    <w:p w14:paraId="7934C8DF" w14:textId="15258FA4"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criminal track is already well ahead of the civil case: Kollar and Seibold pleaded guilty in December 2025 to bank fraud, wire fraud, securities fraud and destruction of evidence, while Chu faces a superseding indictment from June 2026</w:t>
      </w:r>
      <w:r w:rsidR="00B92A03" w:rsidRPr="00745851">
        <w:rPr>
          <w:rFonts w:ascii="Arial" w:hAnsi="Arial" w:cs="Arial"/>
          <w:color w:val="000000"/>
          <w:sz w:val="24"/>
          <w:szCs w:val="24"/>
        </w:rPr>
        <w:t xml:space="preserve">, </w:t>
      </w:r>
      <w:r w:rsidRPr="00745851">
        <w:rPr>
          <w:rFonts w:ascii="Arial" w:hAnsi="Arial" w:cs="Arial"/>
          <w:color w:val="000000"/>
          <w:sz w:val="24"/>
          <w:szCs w:val="24"/>
        </w:rPr>
        <w:t xml:space="preserve">the </w:t>
      </w:r>
      <w:r w:rsidR="00B92A03" w:rsidRPr="00745851">
        <w:rPr>
          <w:rFonts w:ascii="Arial" w:hAnsi="Arial" w:cs="Arial"/>
          <w:color w:val="000000"/>
          <w:sz w:val="24"/>
          <w:szCs w:val="24"/>
        </w:rPr>
        <w:t xml:space="preserve">US </w:t>
      </w:r>
      <w:r w:rsidRPr="00745851">
        <w:rPr>
          <w:rFonts w:ascii="Arial" w:hAnsi="Arial" w:cs="Arial"/>
          <w:color w:val="000000"/>
          <w:sz w:val="24"/>
          <w:szCs w:val="24"/>
        </w:rPr>
        <w:t>SEC's civil claims (Securities Act s.17(a), Exchange Act s.10(b)/Rule 10b-5, control-person and aiding-and-abetting liability) seek injunctions, disgorgement, penalties and officer-and-director bars on top.</w:t>
      </w:r>
    </w:p>
    <w:p w14:paraId="3C037881" w14:textId="40C212B9" w:rsidR="00745851" w:rsidRPr="00BF18E2" w:rsidRDefault="00000000" w:rsidP="00BF18E2">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firms relying on management certifications or aggregated servicing reports for collateral eligibility </w:t>
      </w:r>
      <w:r w:rsidR="00A4181D" w:rsidRPr="00745851">
        <w:rPr>
          <w:rFonts w:ascii="Arial" w:hAnsi="Arial" w:cs="Arial"/>
          <w:color w:val="000000"/>
          <w:sz w:val="24"/>
          <w:szCs w:val="24"/>
        </w:rPr>
        <w:t xml:space="preserve">may consider to </w:t>
      </w:r>
      <w:r w:rsidRPr="00745851">
        <w:rPr>
          <w:rFonts w:ascii="Arial" w:hAnsi="Arial" w:cs="Arial"/>
          <w:color w:val="000000"/>
          <w:sz w:val="24"/>
          <w:szCs w:val="24"/>
        </w:rPr>
        <w:t xml:space="preserve"> independently verify ownership, lien status and loan performance at the individual-asset level.</w:t>
      </w:r>
    </w:p>
    <w:p w14:paraId="5102DE57"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21"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7BE721BE" w14:textId="77777777" w:rsidR="00745851" w:rsidRPr="00BF18E2" w:rsidRDefault="00745851" w:rsidP="00BF18E2">
      <w:pPr>
        <w:spacing w:after="100"/>
        <w:jc w:val="both"/>
        <w:rPr>
          <w:rFonts w:ascii="Arial" w:hAnsi="Arial" w:cs="Arial"/>
          <w:sz w:val="24"/>
          <w:szCs w:val="24"/>
          <w:lang w:val="ru-RU"/>
        </w:rPr>
      </w:pPr>
    </w:p>
    <w:p w14:paraId="0BC73A3F" w14:textId="77777777" w:rsidR="00DD338A" w:rsidRPr="00745851" w:rsidRDefault="00DD338A" w:rsidP="008F3BE5">
      <w:pPr>
        <w:pStyle w:val="2"/>
        <w:spacing w:before="40" w:after="120"/>
        <w:jc w:val="both"/>
        <w:rPr>
          <w:rFonts w:ascii="Arial" w:hAnsi="Arial" w:cs="Arial"/>
          <w:b/>
          <w:bCs/>
          <w:color w:val="000000"/>
          <w:sz w:val="24"/>
          <w:szCs w:val="24"/>
        </w:rPr>
      </w:pPr>
    </w:p>
    <w:p w14:paraId="1CE11560" w14:textId="4126E25F"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Australia: ASIC Warns AI Deepfakes Are Driving More Sophisticated Investment and Crypto Scams</w:t>
      </w:r>
    </w:p>
    <w:p w14:paraId="01FDBEEC" w14:textId="7777777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17 August 2026, the Australian Securities and Investments Commission (ASIC) </w:t>
      </w:r>
      <w:hyperlink r:id="rId22" w:history="1">
        <w:r w:rsidR="00F6554E" w:rsidRPr="00BF18E2">
          <w:rPr>
            <w:rStyle w:val="a5"/>
            <w:rFonts w:ascii="Arial" w:hAnsi="Arial" w:cs="Arial"/>
            <w:color w:val="E97132"/>
            <w:sz w:val="24"/>
            <w:szCs w:val="24"/>
          </w:rPr>
          <w:t>warned consumers about investment scams using generative artificial intelligence</w:t>
        </w:r>
      </w:hyperlink>
      <w:r w:rsidRPr="00745851">
        <w:rPr>
          <w:rFonts w:ascii="Arial" w:hAnsi="Arial" w:cs="Arial"/>
          <w:color w:val="000000"/>
          <w:sz w:val="24"/>
          <w:szCs w:val="24"/>
        </w:rPr>
        <w:t>, deepfake videos and fabricated online content designed to make fraudulent investment opportunities appear legitimate.</w:t>
      </w:r>
    </w:p>
    <w:p w14:paraId="7E921C4D" w14:textId="1038CB32"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scam architecture </w:t>
      </w:r>
      <w:r w:rsidR="002940BA" w:rsidRPr="00745851">
        <w:rPr>
          <w:rFonts w:ascii="Arial" w:hAnsi="Arial" w:cs="Arial"/>
          <w:color w:val="000000"/>
          <w:sz w:val="24"/>
          <w:szCs w:val="24"/>
        </w:rPr>
        <w:t xml:space="preserve">as described by </w:t>
      </w:r>
      <w:r w:rsidRPr="00745851">
        <w:rPr>
          <w:rFonts w:ascii="Arial" w:hAnsi="Arial" w:cs="Arial"/>
          <w:color w:val="000000"/>
          <w:sz w:val="24"/>
          <w:szCs w:val="24"/>
        </w:rPr>
        <w:t xml:space="preserve">ASIC is a full "web of deception", </w:t>
      </w:r>
      <w:r w:rsidR="002940BA" w:rsidRPr="00745851">
        <w:rPr>
          <w:rFonts w:ascii="Arial" w:hAnsi="Arial" w:cs="Arial"/>
          <w:color w:val="000000"/>
          <w:sz w:val="24"/>
          <w:szCs w:val="24"/>
        </w:rPr>
        <w:t xml:space="preserve">and </w:t>
      </w:r>
      <w:r w:rsidRPr="00745851">
        <w:rPr>
          <w:rFonts w:ascii="Arial" w:hAnsi="Arial" w:cs="Arial"/>
          <w:color w:val="000000"/>
          <w:sz w:val="24"/>
          <w:szCs w:val="24"/>
        </w:rPr>
        <w:t>not a single fake ad</w:t>
      </w:r>
      <w:r w:rsidR="002940BA" w:rsidRPr="00745851">
        <w:rPr>
          <w:rFonts w:ascii="Arial" w:hAnsi="Arial" w:cs="Arial"/>
          <w:color w:val="000000"/>
          <w:sz w:val="24"/>
          <w:szCs w:val="24"/>
        </w:rPr>
        <w:t>, which includes</w:t>
      </w:r>
      <w:r w:rsidRPr="00745851">
        <w:rPr>
          <w:rFonts w:ascii="Arial" w:hAnsi="Arial" w:cs="Arial"/>
          <w:color w:val="000000"/>
          <w:sz w:val="24"/>
          <w:szCs w:val="24"/>
        </w:rPr>
        <w:t xml:space="preserve"> fabricated news articles, manufactured reviews, AI-generated celebrity endorsement videos and scripted follow-up calls are built around a fictitious investment brand before a consumer ever hands over money</w:t>
      </w:r>
      <w:r w:rsidR="002940BA" w:rsidRPr="00745851">
        <w:rPr>
          <w:rFonts w:ascii="Arial" w:hAnsi="Arial" w:cs="Arial"/>
          <w:color w:val="000000"/>
          <w:sz w:val="24"/>
          <w:szCs w:val="24"/>
        </w:rPr>
        <w:t>,</w:t>
      </w:r>
      <w:r w:rsidRPr="00745851">
        <w:rPr>
          <w:rFonts w:ascii="Arial" w:hAnsi="Arial" w:cs="Arial"/>
          <w:color w:val="000000"/>
          <w:sz w:val="24"/>
          <w:szCs w:val="24"/>
        </w:rPr>
        <w:t xml:space="preserve"> with small early "profit" payments used deliberately to build trust before the real ask.</w:t>
      </w:r>
    </w:p>
    <w:p w14:paraId="4654BB7F" w14:textId="11DE223E"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ASIC removed over 19,400 online scams in FY26, up 182% on FY25's 6,915, with cryptocurrency investment scam takedowns specifically up almost 30% to 3,106</w:t>
      </w:r>
      <w:r w:rsidR="002940BA" w:rsidRPr="00745851">
        <w:rPr>
          <w:rFonts w:ascii="Arial" w:hAnsi="Arial" w:cs="Arial"/>
          <w:color w:val="000000"/>
          <w:sz w:val="24"/>
          <w:szCs w:val="24"/>
        </w:rPr>
        <w:t xml:space="preserve">, </w:t>
      </w:r>
      <w:r w:rsidRPr="00745851">
        <w:rPr>
          <w:rFonts w:ascii="Arial" w:hAnsi="Arial" w:cs="Arial"/>
          <w:color w:val="000000"/>
          <w:sz w:val="24"/>
          <w:szCs w:val="24"/>
        </w:rPr>
        <w:t>phishing hyperlink takedowns rose fastest of all, up 279%.</w:t>
      </w:r>
    </w:p>
    <w:p w14:paraId="3BA9DBC4" w14:textId="3293D5B9" w:rsidR="00F6554E" w:rsidRPr="00745851" w:rsidRDefault="002940BA"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lastRenderedPageBreak/>
        <w:t>A</w:t>
      </w:r>
      <w:r w:rsidR="00000000" w:rsidRPr="00745851">
        <w:rPr>
          <w:rFonts w:ascii="Arial" w:hAnsi="Arial" w:cs="Arial"/>
          <w:color w:val="000000"/>
          <w:sz w:val="24"/>
          <w:szCs w:val="24"/>
        </w:rPr>
        <w:t xml:space="preserve"> volume of search results, favourable reviews and "polished content" can itself be manufactured, so online searching is explicitly called out as insufficient verification</w:t>
      </w:r>
      <w:r w:rsidRPr="00745851">
        <w:rPr>
          <w:rFonts w:ascii="Arial" w:hAnsi="Arial" w:cs="Arial"/>
          <w:color w:val="000000"/>
          <w:sz w:val="24"/>
          <w:szCs w:val="24"/>
        </w:rPr>
        <w:t>,</w:t>
      </w:r>
      <w:r w:rsidR="00000000" w:rsidRPr="00745851">
        <w:rPr>
          <w:rFonts w:ascii="Arial" w:hAnsi="Arial" w:cs="Arial"/>
          <w:color w:val="000000"/>
          <w:sz w:val="24"/>
          <w:szCs w:val="24"/>
        </w:rPr>
        <w:t xml:space="preserve"> real diligence means checking the AFSL number against ASIC's own public register and confirming it matches the actual promoting entity, not just its existence.</w:t>
      </w:r>
    </w:p>
    <w:p w14:paraId="7E60C5DE" w14:textId="77777777" w:rsidR="00F6554E" w:rsidRPr="00745851" w:rsidRDefault="00000000" w:rsidP="008F3BE5">
      <w:pPr>
        <w:pStyle w:val="a4"/>
        <w:numPr>
          <w:ilvl w:val="0"/>
          <w:numId w:val="2"/>
        </w:numPr>
        <w:spacing w:after="100"/>
        <w:jc w:val="both"/>
        <w:rPr>
          <w:rFonts w:ascii="Arial" w:hAnsi="Arial" w:cs="Arial"/>
          <w:sz w:val="24"/>
          <w:szCs w:val="24"/>
        </w:rPr>
      </w:pPr>
      <w:proofErr w:type="spellStart"/>
      <w:r w:rsidRPr="00745851">
        <w:rPr>
          <w:rFonts w:ascii="Arial" w:hAnsi="Arial" w:cs="Arial"/>
          <w:color w:val="000000"/>
          <w:sz w:val="24"/>
          <w:szCs w:val="24"/>
        </w:rPr>
        <w:t>Deepfaked</w:t>
      </w:r>
      <w:proofErr w:type="spellEnd"/>
      <w:r w:rsidRPr="00745851">
        <w:rPr>
          <w:rFonts w:ascii="Arial" w:hAnsi="Arial" w:cs="Arial"/>
          <w:color w:val="000000"/>
          <w:sz w:val="24"/>
          <w:szCs w:val="24"/>
        </w:rPr>
        <w:t xml:space="preserve"> social proof has a real, quantified cost: impersonation of named Australian public figures drove AU$7.4 million in reported </w:t>
      </w:r>
      <w:proofErr w:type="spellStart"/>
      <w:r w:rsidRPr="00745851">
        <w:rPr>
          <w:rFonts w:ascii="Arial" w:hAnsi="Arial" w:cs="Arial"/>
          <w:color w:val="000000"/>
          <w:sz w:val="24"/>
          <w:szCs w:val="24"/>
        </w:rPr>
        <w:t>Scamwatch</w:t>
      </w:r>
      <w:proofErr w:type="spellEnd"/>
      <w:r w:rsidRPr="00745851">
        <w:rPr>
          <w:rFonts w:ascii="Arial" w:hAnsi="Arial" w:cs="Arial"/>
          <w:color w:val="000000"/>
          <w:sz w:val="24"/>
          <w:szCs w:val="24"/>
        </w:rPr>
        <w:t xml:space="preserve"> losses in FY26 alone, and ASIC notes impersonation targets shift quickly to track the news cycle.</w:t>
      </w:r>
    </w:p>
    <w:p w14:paraId="30A8F3B7" w14:textId="6C7AE848" w:rsidR="00745851" w:rsidRPr="00BF18E2" w:rsidRDefault="00000000" w:rsidP="00BF18E2">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practical takeaway for compliance and brand-protection teams alike is to assume identity misuse will happen and build monitoring for it</w:t>
      </w:r>
      <w:r w:rsidR="002940BA" w:rsidRPr="00745851">
        <w:rPr>
          <w:rFonts w:ascii="Arial" w:hAnsi="Arial" w:cs="Arial"/>
          <w:color w:val="000000"/>
          <w:sz w:val="24"/>
          <w:szCs w:val="24"/>
        </w:rPr>
        <w:t xml:space="preserve">, </w:t>
      </w:r>
      <w:r w:rsidRPr="00745851">
        <w:rPr>
          <w:rFonts w:ascii="Arial" w:hAnsi="Arial" w:cs="Arial"/>
          <w:color w:val="000000"/>
          <w:sz w:val="24"/>
          <w:szCs w:val="24"/>
        </w:rPr>
        <w:t xml:space="preserve"> ASIC's own "Stop, Check, Protect" consumer guidance (stop before transferring funds, check independently via trusted contact details, report to </w:t>
      </w:r>
      <w:proofErr w:type="spellStart"/>
      <w:r w:rsidRPr="00745851">
        <w:rPr>
          <w:rFonts w:ascii="Arial" w:hAnsi="Arial" w:cs="Arial"/>
          <w:color w:val="000000"/>
          <w:sz w:val="24"/>
          <w:szCs w:val="24"/>
        </w:rPr>
        <w:t>Scamwatch</w:t>
      </w:r>
      <w:proofErr w:type="spellEnd"/>
      <w:r w:rsidRPr="00745851">
        <w:rPr>
          <w:rFonts w:ascii="Arial" w:hAnsi="Arial" w:cs="Arial"/>
          <w:color w:val="000000"/>
          <w:sz w:val="24"/>
          <w:szCs w:val="24"/>
        </w:rPr>
        <w:t>/cyber.gov.au) is really a description of the verification gap scammers are now engineering around.</w:t>
      </w:r>
    </w:p>
    <w:p w14:paraId="20A3701B"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23"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5E3D7453" w14:textId="77777777" w:rsidR="00745851" w:rsidRPr="00BF18E2" w:rsidRDefault="00745851" w:rsidP="00BF18E2">
      <w:pPr>
        <w:spacing w:after="100"/>
        <w:jc w:val="both"/>
        <w:rPr>
          <w:rFonts w:ascii="Arial" w:hAnsi="Arial" w:cs="Arial"/>
          <w:sz w:val="24"/>
          <w:szCs w:val="24"/>
          <w:lang w:val="ru-RU"/>
        </w:rPr>
      </w:pPr>
    </w:p>
    <w:p w14:paraId="55608F1B" w14:textId="77777777" w:rsidR="00DD338A" w:rsidRPr="00745851" w:rsidRDefault="00DD338A" w:rsidP="008F3BE5">
      <w:pPr>
        <w:pStyle w:val="2"/>
        <w:spacing w:before="40" w:after="120"/>
        <w:jc w:val="both"/>
        <w:rPr>
          <w:rFonts w:ascii="Arial" w:hAnsi="Arial" w:cs="Arial"/>
          <w:b/>
          <w:bCs/>
          <w:color w:val="000000"/>
          <w:sz w:val="24"/>
          <w:szCs w:val="24"/>
        </w:rPr>
      </w:pPr>
    </w:p>
    <w:p w14:paraId="6FC885CE" w14:textId="75122D4B"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US SEC Division of Corporation Finance Ends All Rule 14a-8 No-Action Responses on Shareholder Proposal Exclusions</w:t>
      </w:r>
    </w:p>
    <w:p w14:paraId="7AC210DD" w14:textId="7777777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14 August 2026, the SEC's Division of Corporation Finance issued an </w:t>
      </w:r>
      <w:hyperlink r:id="rId24" w:history="1">
        <w:r w:rsidR="00F6554E" w:rsidRPr="00BF18E2">
          <w:rPr>
            <w:rStyle w:val="a5"/>
            <w:rFonts w:ascii="Arial" w:hAnsi="Arial" w:cs="Arial"/>
            <w:color w:val="E97132"/>
            <w:sz w:val="24"/>
            <w:szCs w:val="24"/>
          </w:rPr>
          <w:t>updated statement</w:t>
        </w:r>
      </w:hyperlink>
      <w:r w:rsidRPr="00745851">
        <w:rPr>
          <w:rFonts w:ascii="Arial" w:hAnsi="Arial" w:cs="Arial"/>
          <w:color w:val="000000"/>
          <w:sz w:val="24"/>
          <w:szCs w:val="24"/>
        </w:rPr>
        <w:t xml:space="preserve"> discontinuing, effective immediately, all responses to Rule 14a-8 no-action requests, including the one exception previously preserved for Rule 14a-8(</w:t>
      </w:r>
      <w:proofErr w:type="spellStart"/>
      <w:r w:rsidRPr="00745851">
        <w:rPr>
          <w:rFonts w:ascii="Arial" w:hAnsi="Arial" w:cs="Arial"/>
          <w:color w:val="000000"/>
          <w:sz w:val="24"/>
          <w:szCs w:val="24"/>
        </w:rPr>
        <w:t>i</w:t>
      </w:r>
      <w:proofErr w:type="spellEnd"/>
      <w:r w:rsidRPr="00745851">
        <w:rPr>
          <w:rFonts w:ascii="Arial" w:hAnsi="Arial" w:cs="Arial"/>
          <w:color w:val="000000"/>
          <w:sz w:val="24"/>
          <w:szCs w:val="24"/>
        </w:rPr>
        <w:t>)(1) requests.</w:t>
      </w:r>
    </w:p>
    <w:p w14:paraId="020DF72F" w14:textId="78501589"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withdrawal is total, </w:t>
      </w:r>
      <w:r w:rsidR="002940BA" w:rsidRPr="00745851">
        <w:rPr>
          <w:rFonts w:ascii="Arial" w:hAnsi="Arial" w:cs="Arial"/>
          <w:color w:val="000000"/>
          <w:sz w:val="24"/>
          <w:szCs w:val="24"/>
        </w:rPr>
        <w:t xml:space="preserve">i.e. </w:t>
      </w:r>
      <w:r w:rsidRPr="00745851">
        <w:rPr>
          <w:rFonts w:ascii="Arial" w:hAnsi="Arial" w:cs="Arial"/>
          <w:color w:val="000000"/>
          <w:sz w:val="24"/>
          <w:szCs w:val="24"/>
        </w:rPr>
        <w:t>the one exception preserved from the 2025–2026 pilot (responses to Rule 14a-8(</w:t>
      </w:r>
      <w:proofErr w:type="spellStart"/>
      <w:r w:rsidRPr="00745851">
        <w:rPr>
          <w:rFonts w:ascii="Arial" w:hAnsi="Arial" w:cs="Arial"/>
          <w:color w:val="000000"/>
          <w:sz w:val="24"/>
          <w:szCs w:val="24"/>
        </w:rPr>
        <w:t>i</w:t>
      </w:r>
      <w:proofErr w:type="spellEnd"/>
      <w:r w:rsidRPr="00745851">
        <w:rPr>
          <w:rFonts w:ascii="Arial" w:hAnsi="Arial" w:cs="Arial"/>
          <w:color w:val="000000"/>
          <w:sz w:val="24"/>
          <w:szCs w:val="24"/>
        </w:rPr>
        <w:t>)(1) requests) is now also gone, and the Division will no longer issue no-objection letters on Rule 14a-8(j) exclusion notices at all.</w:t>
      </w:r>
    </w:p>
    <w:p w14:paraId="6CD07427" w14:textId="33570FDF"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Companies still carry the procedural obligation without the procedural safety net</w:t>
      </w:r>
      <w:r w:rsidR="002940BA" w:rsidRPr="00745851">
        <w:rPr>
          <w:rFonts w:ascii="Arial" w:hAnsi="Arial" w:cs="Arial"/>
          <w:color w:val="000000"/>
          <w:sz w:val="24"/>
          <w:szCs w:val="24"/>
        </w:rPr>
        <w:t xml:space="preserve"> i.e.</w:t>
      </w:r>
      <w:r w:rsidRPr="00745851">
        <w:rPr>
          <w:rFonts w:ascii="Arial" w:hAnsi="Arial" w:cs="Arial"/>
          <w:color w:val="000000"/>
          <w:sz w:val="24"/>
          <w:szCs w:val="24"/>
        </w:rPr>
        <w:t xml:space="preserve"> Rule 14a-8(j) notices must still be filed (via the online Shareholder Proposal Form; the old email address no longer works) ordinarily 80 days before the definitive proxy statement, but exclusion decisions now rest entirely on the company's own legal judgment, with no staff view to point to if challenged.</w:t>
      </w:r>
    </w:p>
    <w:p w14:paraId="1404F136" w14:textId="2E08B574"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November 2025 statement already confirmed prior no-action letters were non-binding informal views, and Chairman Atkins previewed this outcome on 9 July 2026, calling staff "interposition" between companies and shareholder proponents "unnecessary" to resolve inclusion disputes.</w:t>
      </w:r>
    </w:p>
    <w:p w14:paraId="1CA66462" w14:textId="631F1C5E"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practical consequence is that exclusion decisions move from an administrative process to litigation risk</w:t>
      </w:r>
      <w:r w:rsidR="002940BA" w:rsidRPr="00745851">
        <w:rPr>
          <w:rFonts w:ascii="Arial" w:hAnsi="Arial" w:cs="Arial"/>
          <w:color w:val="000000"/>
          <w:sz w:val="24"/>
          <w:szCs w:val="24"/>
        </w:rPr>
        <w:t>.</w:t>
      </w:r>
      <w:r w:rsidRPr="00745851">
        <w:rPr>
          <w:rFonts w:ascii="Arial" w:hAnsi="Arial" w:cs="Arial"/>
          <w:color w:val="000000"/>
          <w:sz w:val="24"/>
          <w:szCs w:val="24"/>
        </w:rPr>
        <w:t xml:space="preserve"> </w:t>
      </w:r>
      <w:r w:rsidR="002940BA" w:rsidRPr="00745851">
        <w:rPr>
          <w:rFonts w:ascii="Arial" w:hAnsi="Arial" w:cs="Arial"/>
          <w:color w:val="000000"/>
          <w:sz w:val="24"/>
          <w:szCs w:val="24"/>
        </w:rPr>
        <w:t>C</w:t>
      </w:r>
      <w:r w:rsidRPr="00745851">
        <w:rPr>
          <w:rFonts w:ascii="Arial" w:hAnsi="Arial" w:cs="Arial"/>
          <w:color w:val="000000"/>
          <w:sz w:val="24"/>
          <w:szCs w:val="24"/>
        </w:rPr>
        <w:t>ompanies should support each exclusion with a written analysis addressing the specific Rule 14a-8 basis, relevant precedent (now explicitly non-binding either way) and case law</w:t>
      </w:r>
      <w:r w:rsidR="002940BA" w:rsidRPr="00745851">
        <w:rPr>
          <w:rFonts w:ascii="Arial" w:hAnsi="Arial" w:cs="Arial"/>
          <w:color w:val="000000"/>
          <w:sz w:val="24"/>
          <w:szCs w:val="24"/>
        </w:rPr>
        <w:t>s</w:t>
      </w:r>
      <w:r w:rsidRPr="00745851">
        <w:rPr>
          <w:rFonts w:ascii="Arial" w:hAnsi="Arial" w:cs="Arial"/>
          <w:color w:val="000000"/>
          <w:sz w:val="24"/>
          <w:szCs w:val="24"/>
        </w:rPr>
        <w:t>.</w:t>
      </w:r>
    </w:p>
    <w:p w14:paraId="255098BB" w14:textId="77777777" w:rsidR="002940BA" w:rsidRPr="00BF18E2"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A modernisation proposal for Rule 14a-8 itself has been signalled but not yet published</w:t>
      </w:r>
      <w:r w:rsidR="002940BA" w:rsidRPr="00745851">
        <w:rPr>
          <w:rFonts w:ascii="Arial" w:hAnsi="Arial" w:cs="Arial"/>
          <w:color w:val="000000"/>
          <w:sz w:val="24"/>
          <w:szCs w:val="24"/>
        </w:rPr>
        <w:t xml:space="preserve">. </w:t>
      </w:r>
    </w:p>
    <w:p w14:paraId="75E3F356" w14:textId="25D5E4D2" w:rsidR="00745851" w:rsidRPr="00BF18E2" w:rsidRDefault="002940BA" w:rsidP="00BF18E2">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w:t>
      </w:r>
      <w:r w:rsidR="00000000" w:rsidRPr="00745851">
        <w:rPr>
          <w:rFonts w:ascii="Arial" w:hAnsi="Arial" w:cs="Arial"/>
          <w:color w:val="000000"/>
          <w:sz w:val="24"/>
          <w:szCs w:val="24"/>
        </w:rPr>
        <w:t>he rule operates for the first time in decades without any administrative referee at all.</w:t>
      </w:r>
    </w:p>
    <w:p w14:paraId="4E1F7951"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lastRenderedPageBreak/>
        <w:t>(Source:</w:t>
      </w:r>
      <w:r w:rsidRPr="00A659F3">
        <w:rPr>
          <w:rFonts w:ascii="Arial" w:hAnsi="Arial" w:cs="Arial"/>
          <w:i/>
          <w:iCs/>
          <w:color w:val="E97132"/>
          <w:sz w:val="24"/>
          <w:szCs w:val="24"/>
        </w:rPr>
        <w:t xml:space="preserve"> </w:t>
      </w:r>
      <w:hyperlink r:id="rId25"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145F2CBB" w14:textId="77777777" w:rsidR="00745851" w:rsidRPr="00BF18E2" w:rsidRDefault="00745851" w:rsidP="00BF18E2">
      <w:pPr>
        <w:spacing w:after="100"/>
        <w:jc w:val="both"/>
        <w:rPr>
          <w:rFonts w:ascii="Arial" w:hAnsi="Arial" w:cs="Arial"/>
          <w:sz w:val="24"/>
          <w:szCs w:val="24"/>
          <w:lang w:val="ru-RU"/>
        </w:rPr>
      </w:pPr>
    </w:p>
    <w:p w14:paraId="7598EAC0" w14:textId="77777777" w:rsidR="00DD338A" w:rsidRPr="00745851" w:rsidRDefault="00DD338A" w:rsidP="008F3BE5">
      <w:pPr>
        <w:pStyle w:val="2"/>
        <w:spacing w:before="40" w:after="120"/>
        <w:jc w:val="both"/>
        <w:rPr>
          <w:rFonts w:ascii="Arial" w:hAnsi="Arial" w:cs="Arial"/>
          <w:b/>
          <w:bCs/>
          <w:color w:val="000000"/>
          <w:sz w:val="24"/>
          <w:szCs w:val="24"/>
        </w:rPr>
      </w:pPr>
    </w:p>
    <w:p w14:paraId="32EB1553" w14:textId="745ED832"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US CFTC: Innovation Advisory Committee to Examine Crypto Assets, AI and Prediction Markets at Inaugural Meeting</w:t>
      </w:r>
    </w:p>
    <w:p w14:paraId="7F9DDACE" w14:textId="7777777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13 August 2026, US Commodity Futures Trading Commission (CFTC) Chairman Michael S. Selig released </w:t>
      </w:r>
      <w:hyperlink r:id="rId26" w:history="1">
        <w:r w:rsidR="00F6554E" w:rsidRPr="00BF18E2">
          <w:rPr>
            <w:rStyle w:val="a5"/>
            <w:rFonts w:ascii="Arial" w:hAnsi="Arial" w:cs="Arial"/>
            <w:color w:val="E97132"/>
            <w:sz w:val="24"/>
            <w:szCs w:val="24"/>
          </w:rPr>
          <w:t>the agenda</w:t>
        </w:r>
      </w:hyperlink>
      <w:r w:rsidRPr="00745851">
        <w:rPr>
          <w:rFonts w:ascii="Arial" w:hAnsi="Arial" w:cs="Arial"/>
          <w:color w:val="000000"/>
          <w:sz w:val="24"/>
          <w:szCs w:val="24"/>
        </w:rPr>
        <w:t xml:space="preserve"> for the inaugural Innovation Advisory Committee (IAC) meeting, confirming that crypto assets, artificial intelligence and prediction markets will be discussed at the 20 August 2026 session in Washington.</w:t>
      </w:r>
    </w:p>
    <w:p w14:paraId="65DFFFE1" w14:textId="19B81798"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agenda confirms what the January 2026 renaming from "Technology Advisory Committee" to "Innovation Advisory Committee" foreshadowed: crypto assets, artificial intelligence and prediction markets are now formally grouped as a single regulatory subject area for the </w:t>
      </w:r>
      <w:r w:rsidR="00782285" w:rsidRPr="00745851">
        <w:rPr>
          <w:rFonts w:ascii="Arial" w:hAnsi="Arial" w:cs="Arial"/>
          <w:color w:val="000000"/>
          <w:sz w:val="24"/>
          <w:szCs w:val="24"/>
        </w:rPr>
        <w:t xml:space="preserve">US CFTC’s </w:t>
      </w:r>
      <w:r w:rsidRPr="00745851">
        <w:rPr>
          <w:rFonts w:ascii="Arial" w:hAnsi="Arial" w:cs="Arial"/>
          <w:color w:val="000000"/>
          <w:sz w:val="24"/>
          <w:szCs w:val="24"/>
        </w:rPr>
        <w:t>advisory infrastructure, not three separate workstreams.</w:t>
      </w:r>
    </w:p>
    <w:p w14:paraId="5D683BEB" w14:textId="466DEAC0"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Committee sits under the Federal Advisory Committee Act as a discretionary body, so its output is advisory rather than binding</w:t>
      </w:r>
      <w:r w:rsidR="002940BA" w:rsidRPr="00745851">
        <w:rPr>
          <w:rFonts w:ascii="Arial" w:hAnsi="Arial" w:cs="Arial"/>
          <w:color w:val="000000"/>
          <w:sz w:val="24"/>
          <w:szCs w:val="24"/>
        </w:rPr>
        <w:t>,</w:t>
      </w:r>
      <w:r w:rsidRPr="00745851">
        <w:rPr>
          <w:rFonts w:ascii="Arial" w:hAnsi="Arial" w:cs="Arial"/>
          <w:color w:val="000000"/>
          <w:sz w:val="24"/>
          <w:szCs w:val="24"/>
        </w:rPr>
        <w:t xml:space="preserve"> but its composition and remit ("recommendations concerning the impact and implications of technological innovation in financial services") signal where Chairman Selig intends CFTC rulemaking priorities to be shaped next.</w:t>
      </w:r>
    </w:p>
    <w:p w14:paraId="7A5145B3" w14:textId="26A76BCD" w:rsidR="00DD338A" w:rsidRPr="00BF18E2" w:rsidRDefault="00000000" w:rsidP="00BF18E2">
      <w:pPr>
        <w:pStyle w:val="a4"/>
        <w:numPr>
          <w:ilvl w:val="0"/>
          <w:numId w:val="2"/>
        </w:numPr>
        <w:spacing w:after="100"/>
        <w:jc w:val="both"/>
        <w:rPr>
          <w:rFonts w:ascii="Arial" w:hAnsi="Arial" w:cs="Arial"/>
          <w:b/>
          <w:bCs/>
          <w:color w:val="000000"/>
          <w:sz w:val="24"/>
          <w:szCs w:val="24"/>
          <w:lang w:val="en-US"/>
          <w:rPrChange w:id="0" w:author="Mikhail Zavalko" w:date="2026-09-30T14:58:00Z" w16du:dateUtc="2026-09-30T04:58:00Z">
            <w:rPr>
              <w:rFonts w:ascii="Arial" w:hAnsi="Arial" w:cs="Arial"/>
              <w:b/>
              <w:bCs/>
              <w:color w:val="000000"/>
              <w:sz w:val="24"/>
              <w:szCs w:val="24"/>
              <w:lang w:val="ru-RU"/>
            </w:rPr>
          </w:rPrChange>
        </w:rPr>
      </w:pPr>
      <w:r w:rsidRPr="00745851">
        <w:rPr>
          <w:rFonts w:ascii="Arial" w:hAnsi="Arial" w:cs="Arial"/>
          <w:color w:val="000000"/>
          <w:sz w:val="24"/>
          <w:szCs w:val="24"/>
        </w:rPr>
        <w:t>Public comment stays open past the meeting itself, until 27 August 2026, and the CFTC has flagged the agenda may still change to accommodate other IAC priorities</w:t>
      </w:r>
      <w:r w:rsidR="002940BA" w:rsidRPr="00745851">
        <w:rPr>
          <w:rFonts w:ascii="Arial" w:hAnsi="Arial" w:cs="Arial"/>
          <w:color w:val="000000"/>
          <w:sz w:val="24"/>
          <w:szCs w:val="24"/>
        </w:rPr>
        <w:t>,</w:t>
      </w:r>
      <w:r w:rsidRPr="00745851">
        <w:rPr>
          <w:rFonts w:ascii="Arial" w:hAnsi="Arial" w:cs="Arial"/>
          <w:color w:val="000000"/>
          <w:sz w:val="24"/>
          <w:szCs w:val="24"/>
        </w:rPr>
        <w:t xml:space="preserve"> firms with a direct stake in crypto derivatives, AI trading systems or event-contract regulation have a real window to influence the discussion before it hardens into policy recommendations.</w:t>
      </w:r>
    </w:p>
    <w:p w14:paraId="23782347"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27"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68FF4A9A" w14:textId="77777777" w:rsidR="00745851" w:rsidRPr="00BF18E2" w:rsidRDefault="00745851" w:rsidP="008F3BE5">
      <w:pPr>
        <w:pStyle w:val="2"/>
        <w:spacing w:before="40" w:after="120"/>
        <w:jc w:val="both"/>
        <w:rPr>
          <w:rFonts w:ascii="Arial" w:hAnsi="Arial" w:cs="Arial"/>
          <w:b/>
          <w:bCs/>
          <w:color w:val="000000"/>
          <w:sz w:val="24"/>
          <w:szCs w:val="24"/>
          <w:lang w:val="ru-RU"/>
        </w:rPr>
      </w:pPr>
    </w:p>
    <w:p w14:paraId="15A1509E" w14:textId="0672B9DF"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US CFTC | Chairman Michael Selig Announces Inaugural Innovation Advisory Committee Meeting on 20 August 2026</w:t>
      </w:r>
    </w:p>
    <w:p w14:paraId="689E8747" w14:textId="7777777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10 August 2026, the CFTC announced </w:t>
      </w:r>
      <w:hyperlink r:id="rId28" w:history="1">
        <w:r w:rsidR="00F6554E" w:rsidRPr="00BF18E2">
          <w:rPr>
            <w:rStyle w:val="a5"/>
            <w:rFonts w:ascii="Arial" w:hAnsi="Arial" w:cs="Arial"/>
            <w:color w:val="E97132"/>
            <w:sz w:val="24"/>
            <w:szCs w:val="24"/>
          </w:rPr>
          <w:t>the inaugural meeting of its Innovation Advisory Committee</w:t>
        </w:r>
      </w:hyperlink>
      <w:r w:rsidRPr="00745851">
        <w:rPr>
          <w:rFonts w:ascii="Arial" w:hAnsi="Arial" w:cs="Arial"/>
          <w:color w:val="000000"/>
          <w:sz w:val="24"/>
          <w:szCs w:val="24"/>
        </w:rPr>
        <w:t>, to be held in Washington on 20 August 2026 and livestreamed through the CFTC's website.</w:t>
      </w:r>
    </w:p>
    <w:p w14:paraId="24B88C61" w14:textId="77777777"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Committee itself is not new machinery but a rename with an expanded mandate: launched by Chairman Selig in January 2026 as a renamed and broadened version of the former Technology Advisory Committee, its amended charter now covers the "impact and implications of technological innovation in financial services and markets" generally, not just derivatives-specific technology questions.</w:t>
      </w:r>
    </w:p>
    <w:p w14:paraId="5CF5353D" w14:textId="399DA0A6" w:rsidR="00782285" w:rsidRPr="00BF18E2" w:rsidRDefault="00000000" w:rsidP="00BF18E2">
      <w:pPr>
        <w:pStyle w:val="a4"/>
        <w:numPr>
          <w:ilvl w:val="0"/>
          <w:numId w:val="2"/>
        </w:numPr>
        <w:spacing w:after="100"/>
        <w:jc w:val="both"/>
        <w:rPr>
          <w:rFonts w:ascii="Arial" w:hAnsi="Arial" w:cs="Arial"/>
          <w:sz w:val="24"/>
          <w:szCs w:val="24"/>
          <w:lang w:val="en-US"/>
          <w:rPrChange w:id="1" w:author="Mikhail Zavalko" w:date="2026-09-30T14:58:00Z" w16du:dateUtc="2026-09-30T04:58:00Z">
            <w:rPr>
              <w:rFonts w:ascii="Arial" w:hAnsi="Arial" w:cs="Arial"/>
              <w:sz w:val="24"/>
              <w:szCs w:val="24"/>
              <w:lang w:val="ru-RU"/>
            </w:rPr>
          </w:rPrChange>
        </w:rPr>
      </w:pPr>
      <w:r w:rsidRPr="00745851">
        <w:rPr>
          <w:rFonts w:ascii="Arial" w:hAnsi="Arial" w:cs="Arial"/>
          <w:color w:val="000000"/>
          <w:sz w:val="24"/>
          <w:szCs w:val="24"/>
        </w:rPr>
        <w:t>Scheduling the inaugural meeting for 20 August 2026 in Washington, with public livestreaming, signals the CFTC wants this body visible rather than a quiet internal advisory exercise</w:t>
      </w:r>
      <w:r w:rsidR="00B92A03" w:rsidRPr="00745851">
        <w:rPr>
          <w:rFonts w:ascii="Arial" w:hAnsi="Arial" w:cs="Arial"/>
          <w:color w:val="000000"/>
          <w:sz w:val="24"/>
          <w:szCs w:val="24"/>
        </w:rPr>
        <w:t xml:space="preserve">, </w:t>
      </w:r>
      <w:r w:rsidRPr="00745851">
        <w:rPr>
          <w:rFonts w:ascii="Arial" w:hAnsi="Arial" w:cs="Arial"/>
          <w:color w:val="000000"/>
          <w:sz w:val="24"/>
          <w:szCs w:val="24"/>
        </w:rPr>
        <w:t>consistent with Chairman Selig's public framing of it as a venue for "American innovators, entrepreneurs, thinkers, and builders."</w:t>
      </w:r>
    </w:p>
    <w:p w14:paraId="6A0C55F5"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29"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7175E27A" w14:textId="77777777" w:rsidR="00745851" w:rsidRPr="00BF18E2" w:rsidRDefault="00745851" w:rsidP="00BF18E2">
      <w:pPr>
        <w:pStyle w:val="a4"/>
        <w:spacing w:after="100"/>
        <w:ind w:left="576"/>
        <w:jc w:val="both"/>
        <w:rPr>
          <w:rFonts w:ascii="Arial" w:hAnsi="Arial" w:cs="Arial"/>
          <w:sz w:val="24"/>
          <w:szCs w:val="24"/>
          <w:lang w:val="ru-RU"/>
        </w:rPr>
      </w:pPr>
    </w:p>
    <w:p w14:paraId="62F94722" w14:textId="77777777" w:rsidR="00DD338A" w:rsidRPr="00BF18E2" w:rsidRDefault="00DD338A" w:rsidP="00BF18E2">
      <w:pPr>
        <w:pStyle w:val="a4"/>
        <w:spacing w:after="100"/>
        <w:ind w:left="576"/>
        <w:jc w:val="both"/>
        <w:rPr>
          <w:rFonts w:ascii="Arial" w:hAnsi="Arial" w:cs="Arial"/>
          <w:b/>
          <w:bCs/>
        </w:rPr>
      </w:pPr>
    </w:p>
    <w:p w14:paraId="3A9F1968" w14:textId="1AEBCBE1"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US CFTC | Chairman Selig Outlines Innovation-Led Approach to Crypto, Stablecoins and Derivatives Regulation</w:t>
      </w:r>
    </w:p>
    <w:p w14:paraId="049E7C4F" w14:textId="7777777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6 August 2026, CFTC Chairman Michael S. Selig </w:t>
      </w:r>
      <w:hyperlink r:id="rId30" w:history="1">
        <w:r w:rsidR="00F6554E" w:rsidRPr="00BF18E2">
          <w:rPr>
            <w:rStyle w:val="a5"/>
            <w:rFonts w:ascii="Arial" w:hAnsi="Arial" w:cs="Arial"/>
            <w:color w:val="E97132"/>
            <w:sz w:val="24"/>
            <w:szCs w:val="24"/>
          </w:rPr>
          <w:t>outlined his approach to financial innovation and international derivatives regulation</w:t>
        </w:r>
      </w:hyperlink>
      <w:r w:rsidRPr="00745851">
        <w:rPr>
          <w:rFonts w:ascii="Arial" w:hAnsi="Arial" w:cs="Arial"/>
          <w:color w:val="000000"/>
          <w:sz w:val="24"/>
          <w:szCs w:val="24"/>
        </w:rPr>
        <w:t xml:space="preserve"> in an </w:t>
      </w:r>
      <w:hyperlink r:id="rId31" w:history="1">
        <w:r w:rsidR="00F6554E" w:rsidRPr="00BF18E2">
          <w:rPr>
            <w:rStyle w:val="a5"/>
            <w:rFonts w:ascii="Arial" w:hAnsi="Arial" w:cs="Arial"/>
            <w:color w:val="E97132"/>
            <w:sz w:val="24"/>
            <w:szCs w:val="24"/>
          </w:rPr>
          <w:t>opinion piece published by The Economist</w:t>
        </w:r>
      </w:hyperlink>
      <w:r w:rsidRPr="00745851">
        <w:rPr>
          <w:rFonts w:ascii="Arial" w:hAnsi="Arial" w:cs="Arial"/>
          <w:color w:val="000000"/>
          <w:sz w:val="24"/>
          <w:szCs w:val="24"/>
        </w:rPr>
        <w:t>, addressing crypto assets, stablecoins, perpetual futures and prediction markets.</w:t>
      </w:r>
    </w:p>
    <w:p w14:paraId="4F1387CA" w14:textId="0E319331"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Selig states "America is not in the business of importing regulatory trends", explicitly rejecting reliance on international consensus where it diverges from developments in US markets</w:t>
      </w:r>
      <w:r w:rsidR="00782285" w:rsidRPr="00745851">
        <w:rPr>
          <w:rFonts w:ascii="Arial" w:hAnsi="Arial" w:cs="Arial"/>
          <w:color w:val="000000"/>
          <w:sz w:val="24"/>
          <w:szCs w:val="24"/>
        </w:rPr>
        <w:t>,</w:t>
      </w:r>
      <w:r w:rsidRPr="00745851">
        <w:rPr>
          <w:rFonts w:ascii="Arial" w:hAnsi="Arial" w:cs="Arial"/>
          <w:color w:val="000000"/>
          <w:sz w:val="24"/>
          <w:szCs w:val="24"/>
        </w:rPr>
        <w:t xml:space="preserve"> a materially different posture from the harmonisation language typically used by G20 financial regulators.</w:t>
      </w:r>
    </w:p>
    <w:p w14:paraId="3B4D26DA" w14:textId="0F963891"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Three concrete workstreams are flagged</w:t>
      </w:r>
      <w:r w:rsidR="00782285" w:rsidRPr="00745851">
        <w:rPr>
          <w:rFonts w:ascii="Arial" w:hAnsi="Arial" w:cs="Arial"/>
          <w:color w:val="000000"/>
          <w:sz w:val="24"/>
          <w:szCs w:val="24"/>
        </w:rPr>
        <w:t xml:space="preserve"> which includes US </w:t>
      </w:r>
      <w:r w:rsidRPr="00745851">
        <w:rPr>
          <w:rFonts w:ascii="Arial" w:hAnsi="Arial" w:cs="Arial"/>
          <w:color w:val="000000"/>
          <w:sz w:val="24"/>
          <w:szCs w:val="24"/>
        </w:rPr>
        <w:t>CFTC examination of regulated stablecoins as derivatives collateral, engagement with market participants on perpetual futures for non-crypto assets, and continued build-out of round-the-clock trading infrastructure</w:t>
      </w:r>
      <w:r w:rsidR="00782285" w:rsidRPr="00745851">
        <w:rPr>
          <w:rFonts w:ascii="Arial" w:hAnsi="Arial" w:cs="Arial"/>
          <w:color w:val="000000"/>
          <w:sz w:val="24"/>
          <w:szCs w:val="24"/>
        </w:rPr>
        <w:t xml:space="preserve">, </w:t>
      </w:r>
      <w:r w:rsidRPr="00745851">
        <w:rPr>
          <w:rFonts w:ascii="Arial" w:hAnsi="Arial" w:cs="Arial"/>
          <w:color w:val="000000"/>
          <w:sz w:val="24"/>
          <w:szCs w:val="24"/>
        </w:rPr>
        <w:t>none of these announce new rules, but all three identify where CFTC rulemaking attention is currently directed.</w:t>
      </w:r>
    </w:p>
    <w:p w14:paraId="19D84434" w14:textId="1104CE9F"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Selig directly contests the position of nine European regulators characterising event contracts as gambling rather than financial instruments, arguing they are "traded on marketplaces and not wagers placed with a 'house'" and that the European framing misunderstands both their structure and their price-discovery function.</w:t>
      </w:r>
    </w:p>
    <w:p w14:paraId="36F7F514" w14:textId="000CAA25" w:rsidR="00D20052" w:rsidRPr="00BF18E2" w:rsidRDefault="00000000" w:rsidP="00BF18E2">
      <w:pPr>
        <w:pStyle w:val="a4"/>
        <w:numPr>
          <w:ilvl w:val="0"/>
          <w:numId w:val="2"/>
        </w:numPr>
        <w:spacing w:after="100"/>
        <w:jc w:val="both"/>
        <w:rPr>
          <w:rFonts w:ascii="Arial" w:hAnsi="Arial" w:cs="Arial"/>
          <w:sz w:val="24"/>
          <w:szCs w:val="24"/>
          <w:lang w:val="en-US"/>
          <w:rPrChange w:id="2" w:author="Mikhail Zavalko" w:date="2026-09-30T14:58:00Z" w16du:dateUtc="2026-09-30T04:58:00Z">
            <w:rPr>
              <w:rFonts w:ascii="Arial" w:hAnsi="Arial" w:cs="Arial"/>
              <w:sz w:val="24"/>
              <w:szCs w:val="24"/>
              <w:lang w:val="ru-RU"/>
            </w:rPr>
          </w:rPrChange>
        </w:rPr>
      </w:pPr>
      <w:r w:rsidRPr="00745851">
        <w:rPr>
          <w:rFonts w:ascii="Arial" w:hAnsi="Arial" w:cs="Arial"/>
          <w:color w:val="000000"/>
          <w:sz w:val="24"/>
          <w:szCs w:val="24"/>
        </w:rPr>
        <w:t>Selig cites derivatives markets exceeding US$1.2 quadrillion in notional value, with nearly half falling within CFTC jurisdiction, and frames CFTC-regulated Bitcoin futures and the 2026 approval of the first "true" Bitcoin perpetual futures contract as the model for extending crypto-market infrastructure into the broader financial system rather than the reverse.</w:t>
      </w:r>
    </w:p>
    <w:p w14:paraId="3793B210"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32"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4A321BE7" w14:textId="77777777" w:rsidR="00745851" w:rsidRPr="00BF18E2" w:rsidRDefault="00745851" w:rsidP="00BF18E2">
      <w:pPr>
        <w:pStyle w:val="a4"/>
        <w:spacing w:after="100"/>
        <w:ind w:left="576"/>
        <w:jc w:val="both"/>
        <w:rPr>
          <w:rFonts w:ascii="Arial" w:hAnsi="Arial" w:cs="Arial"/>
          <w:sz w:val="24"/>
          <w:szCs w:val="24"/>
          <w:lang w:val="ru-RU"/>
        </w:rPr>
      </w:pPr>
    </w:p>
    <w:p w14:paraId="57D5F6DA" w14:textId="77777777" w:rsidR="00DD338A" w:rsidRPr="00BF18E2" w:rsidRDefault="00DD338A" w:rsidP="00BF18E2">
      <w:pPr>
        <w:pStyle w:val="a4"/>
        <w:spacing w:after="100"/>
        <w:ind w:left="576"/>
        <w:jc w:val="both"/>
        <w:rPr>
          <w:rFonts w:ascii="Arial" w:hAnsi="Arial" w:cs="Arial"/>
          <w:b/>
          <w:bCs/>
        </w:rPr>
      </w:pPr>
    </w:p>
    <w:p w14:paraId="609224FC" w14:textId="102ADFBC"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 xml:space="preserve">Cayman Islands: CIMA Warns </w:t>
      </w:r>
      <w:proofErr w:type="spellStart"/>
      <w:r w:rsidRPr="00745851">
        <w:rPr>
          <w:rFonts w:ascii="Arial" w:hAnsi="Arial" w:cs="Arial"/>
          <w:b/>
          <w:bCs/>
          <w:color w:val="000000"/>
          <w:sz w:val="24"/>
          <w:szCs w:val="24"/>
        </w:rPr>
        <w:t>BitMart</w:t>
      </w:r>
      <w:proofErr w:type="spellEnd"/>
      <w:r w:rsidRPr="00745851">
        <w:rPr>
          <w:rFonts w:ascii="Arial" w:hAnsi="Arial" w:cs="Arial"/>
          <w:b/>
          <w:bCs/>
          <w:color w:val="000000"/>
          <w:sz w:val="24"/>
          <w:szCs w:val="24"/>
        </w:rPr>
        <w:t xml:space="preserve"> Is Not Regulated or Authorised to Provide Virtual Asset Services</w:t>
      </w:r>
    </w:p>
    <w:p w14:paraId="61A1B0DC" w14:textId="7777777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6 August 2026, the Cayman Islands Monetary Authority (CIMA) issued </w:t>
      </w:r>
      <w:hyperlink r:id="rId33" w:history="1">
        <w:r w:rsidR="00F6554E" w:rsidRPr="00BF18E2">
          <w:rPr>
            <w:rStyle w:val="a5"/>
            <w:rFonts w:ascii="Arial" w:hAnsi="Arial" w:cs="Arial"/>
            <w:color w:val="E97132"/>
            <w:sz w:val="24"/>
            <w:szCs w:val="24"/>
          </w:rPr>
          <w:t xml:space="preserve">a public notice concerning the regulatory status of </w:t>
        </w:r>
        <w:proofErr w:type="spellStart"/>
        <w:r w:rsidR="00F6554E" w:rsidRPr="00BF18E2">
          <w:rPr>
            <w:rStyle w:val="a5"/>
            <w:rFonts w:ascii="Arial" w:hAnsi="Arial" w:cs="Arial"/>
            <w:color w:val="E97132"/>
            <w:sz w:val="24"/>
            <w:szCs w:val="24"/>
          </w:rPr>
          <w:t>BitMart</w:t>
        </w:r>
        <w:proofErr w:type="spellEnd"/>
        <w:r w:rsidR="00F6554E" w:rsidRPr="00BF18E2">
          <w:rPr>
            <w:rStyle w:val="a5"/>
            <w:rFonts w:ascii="Arial" w:hAnsi="Arial" w:cs="Arial"/>
            <w:color w:val="E97132"/>
            <w:sz w:val="24"/>
            <w:szCs w:val="24"/>
          </w:rPr>
          <w:t xml:space="preserve"> and several related entities</w:t>
        </w:r>
      </w:hyperlink>
      <w:r w:rsidRPr="00745851">
        <w:rPr>
          <w:rFonts w:ascii="Arial" w:hAnsi="Arial" w:cs="Arial"/>
          <w:color w:val="000000"/>
          <w:sz w:val="24"/>
          <w:szCs w:val="24"/>
        </w:rPr>
        <w:t xml:space="preserve">, stating that </w:t>
      </w:r>
      <w:proofErr w:type="spellStart"/>
      <w:r w:rsidRPr="00745851">
        <w:rPr>
          <w:rFonts w:ascii="Arial" w:hAnsi="Arial" w:cs="Arial"/>
          <w:color w:val="000000"/>
          <w:sz w:val="24"/>
          <w:szCs w:val="24"/>
        </w:rPr>
        <w:t>BitMart</w:t>
      </w:r>
      <w:proofErr w:type="spellEnd"/>
      <w:r w:rsidRPr="00745851">
        <w:rPr>
          <w:rFonts w:ascii="Arial" w:hAnsi="Arial" w:cs="Arial"/>
          <w:color w:val="000000"/>
          <w:sz w:val="24"/>
          <w:szCs w:val="24"/>
        </w:rPr>
        <w:t xml:space="preserve"> has never been registered, licensed, regulated or otherwise authorised by the Authority to conduct virtual asset service provider business in or from the Cayman Islands.</w:t>
      </w:r>
    </w:p>
    <w:p w14:paraId="130AD58C" w14:textId="5E52E1BB" w:rsidR="00F6554E" w:rsidRPr="00745851" w:rsidRDefault="00000000" w:rsidP="008F3BE5">
      <w:pPr>
        <w:pStyle w:val="a4"/>
        <w:numPr>
          <w:ilvl w:val="0"/>
          <w:numId w:val="2"/>
        </w:numPr>
        <w:spacing w:after="100"/>
        <w:jc w:val="both"/>
        <w:rPr>
          <w:rFonts w:ascii="Arial" w:hAnsi="Arial" w:cs="Arial"/>
          <w:sz w:val="24"/>
          <w:szCs w:val="24"/>
        </w:rPr>
      </w:pPr>
      <w:proofErr w:type="spellStart"/>
      <w:r w:rsidRPr="00745851">
        <w:rPr>
          <w:rFonts w:ascii="Arial" w:hAnsi="Arial" w:cs="Arial"/>
          <w:color w:val="000000"/>
          <w:sz w:val="24"/>
          <w:szCs w:val="24"/>
        </w:rPr>
        <w:t>BitMart</w:t>
      </w:r>
      <w:proofErr w:type="spellEnd"/>
      <w:r w:rsidRPr="00745851">
        <w:rPr>
          <w:rFonts w:ascii="Arial" w:hAnsi="Arial" w:cs="Arial"/>
          <w:color w:val="000000"/>
          <w:sz w:val="24"/>
          <w:szCs w:val="24"/>
        </w:rPr>
        <w:t xml:space="preserve">, </w:t>
      </w:r>
      <w:proofErr w:type="spellStart"/>
      <w:r w:rsidRPr="00745851">
        <w:rPr>
          <w:rFonts w:ascii="Arial" w:hAnsi="Arial" w:cs="Arial"/>
          <w:color w:val="000000"/>
          <w:sz w:val="24"/>
          <w:szCs w:val="24"/>
        </w:rPr>
        <w:t>BitMart</w:t>
      </w:r>
      <w:proofErr w:type="spellEnd"/>
      <w:r w:rsidRPr="00745851">
        <w:rPr>
          <w:rFonts w:ascii="Arial" w:hAnsi="Arial" w:cs="Arial"/>
          <w:color w:val="000000"/>
          <w:sz w:val="24"/>
          <w:szCs w:val="24"/>
        </w:rPr>
        <w:t xml:space="preserve"> Exchange and eight named GBM and Bachi-related entities have "never been" registered, licensed or authorised by CIMA to conduct virtual asset service provider business in or from the Cayman Islands, despite complaints suggesting otherwise had been represented to the public.</w:t>
      </w:r>
    </w:p>
    <w:p w14:paraId="21AF055F" w14:textId="15E51B21" w:rsidR="00F6554E" w:rsidRPr="00745851" w:rsidRDefault="00D20052"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U</w:t>
      </w:r>
      <w:r w:rsidR="00000000" w:rsidRPr="00745851">
        <w:rPr>
          <w:rFonts w:ascii="Arial" w:hAnsi="Arial" w:cs="Arial"/>
          <w:color w:val="000000"/>
          <w:sz w:val="24"/>
          <w:szCs w:val="24"/>
        </w:rPr>
        <w:t>nder the Virtual Asset (Service Providers) Act (2024 Revision), any person carrying on virtual asset services as a business in or from the Cayman Islands must be registered with, or where applicable licensed by</w:t>
      </w:r>
      <w:r w:rsidRPr="00745851">
        <w:rPr>
          <w:rFonts w:ascii="Arial" w:hAnsi="Arial" w:cs="Arial"/>
          <w:color w:val="000000"/>
          <w:sz w:val="24"/>
          <w:szCs w:val="24"/>
        </w:rPr>
        <w:t>.</w:t>
      </w:r>
    </w:p>
    <w:p w14:paraId="526DD91D" w14:textId="21CD5250"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lastRenderedPageBreak/>
        <w:t xml:space="preserve">The notice followed multiple public complaints specifically about claimed Cayman Islands regulatory status, </w:t>
      </w:r>
      <w:r w:rsidR="00D20052" w:rsidRPr="00745851">
        <w:rPr>
          <w:rFonts w:ascii="Arial" w:hAnsi="Arial" w:cs="Arial"/>
          <w:color w:val="000000"/>
          <w:sz w:val="24"/>
          <w:szCs w:val="24"/>
        </w:rPr>
        <w:t xml:space="preserve">which </w:t>
      </w:r>
      <w:r w:rsidRPr="00745851">
        <w:rPr>
          <w:rFonts w:ascii="Arial" w:hAnsi="Arial" w:cs="Arial"/>
          <w:color w:val="000000"/>
          <w:sz w:val="24"/>
          <w:szCs w:val="24"/>
        </w:rPr>
        <w:t>prompted CIMA to act publicly.</w:t>
      </w:r>
    </w:p>
    <w:p w14:paraId="01EDC4B2" w14:textId="6CD31C77" w:rsidR="00745851" w:rsidRPr="00BF18E2" w:rsidRDefault="00D20052" w:rsidP="00BF18E2">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A</w:t>
      </w:r>
      <w:r w:rsidR="00000000" w:rsidRPr="00745851">
        <w:rPr>
          <w:rFonts w:ascii="Arial" w:hAnsi="Arial" w:cs="Arial"/>
          <w:color w:val="000000"/>
          <w:sz w:val="24"/>
          <w:szCs w:val="24"/>
        </w:rPr>
        <w:t xml:space="preserve">ny claim of Cayman Islands regulation or licensing by </w:t>
      </w:r>
      <w:proofErr w:type="spellStart"/>
      <w:r w:rsidR="00000000" w:rsidRPr="00745851">
        <w:rPr>
          <w:rFonts w:ascii="Arial" w:hAnsi="Arial" w:cs="Arial"/>
          <w:color w:val="000000"/>
          <w:sz w:val="24"/>
          <w:szCs w:val="24"/>
        </w:rPr>
        <w:t>BitMart</w:t>
      </w:r>
      <w:proofErr w:type="spellEnd"/>
      <w:r w:rsidR="00000000" w:rsidRPr="00745851">
        <w:rPr>
          <w:rFonts w:ascii="Arial" w:hAnsi="Arial" w:cs="Arial"/>
          <w:color w:val="000000"/>
          <w:sz w:val="24"/>
          <w:szCs w:val="24"/>
        </w:rPr>
        <w:t xml:space="preserve"> or the named GBM/Bachi entities should be treated as false until independently verified against CIMA's own public register, with complaints routed to financial crime or regulatory enforcement authorities in the complainant's own jurisdiction.</w:t>
      </w:r>
    </w:p>
    <w:p w14:paraId="23B894DC"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34"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10CB62E5" w14:textId="77777777" w:rsidR="00745851" w:rsidRPr="00BF18E2" w:rsidRDefault="00745851" w:rsidP="00BF18E2">
      <w:pPr>
        <w:spacing w:after="100"/>
        <w:jc w:val="both"/>
        <w:rPr>
          <w:rFonts w:ascii="Arial" w:hAnsi="Arial" w:cs="Arial"/>
          <w:sz w:val="24"/>
          <w:szCs w:val="24"/>
          <w:lang w:val="ru-RU"/>
        </w:rPr>
      </w:pPr>
    </w:p>
    <w:p w14:paraId="36A0A309" w14:textId="77777777" w:rsidR="00DD338A" w:rsidRPr="00745851" w:rsidRDefault="00DD338A" w:rsidP="008F3BE5">
      <w:pPr>
        <w:pStyle w:val="2"/>
        <w:spacing w:before="40" w:after="120"/>
        <w:jc w:val="both"/>
        <w:rPr>
          <w:rFonts w:ascii="Arial" w:hAnsi="Arial" w:cs="Arial"/>
          <w:b/>
          <w:bCs/>
          <w:color w:val="000000"/>
          <w:sz w:val="24"/>
          <w:szCs w:val="24"/>
        </w:rPr>
      </w:pPr>
    </w:p>
    <w:p w14:paraId="439B89D5" w14:textId="466BF4F1"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US SEC Establishes Financial Reporting and Accounting Unit in Enforcement Division Under Timothy Zimmerman</w:t>
      </w:r>
    </w:p>
    <w:p w14:paraId="41038D11" w14:textId="7777777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5 August 2026, the SEC announced the establishment of a dedicated </w:t>
      </w:r>
      <w:hyperlink r:id="rId35" w:history="1">
        <w:r w:rsidR="00F6554E" w:rsidRPr="00BF18E2">
          <w:rPr>
            <w:rStyle w:val="a5"/>
            <w:rFonts w:ascii="Arial" w:hAnsi="Arial" w:cs="Arial"/>
            <w:color w:val="E97132"/>
            <w:sz w:val="24"/>
            <w:szCs w:val="24"/>
          </w:rPr>
          <w:t>Financial Reporting and Accounting Unit</w:t>
        </w:r>
      </w:hyperlink>
      <w:r w:rsidRPr="00745851">
        <w:rPr>
          <w:rFonts w:ascii="Arial" w:hAnsi="Arial" w:cs="Arial"/>
          <w:color w:val="000000"/>
          <w:sz w:val="24"/>
          <w:szCs w:val="24"/>
        </w:rPr>
        <w:t xml:space="preserve"> within its Division of Enforcement, to be led by Mr Timothy Zimmerman and staffed by both attorneys and accountants with specialised financial reporting, accounting and auditing expertise.</w:t>
      </w:r>
    </w:p>
    <w:p w14:paraId="4047931A" w14:textId="362021C1"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unit is a dedicated enforcement capability, staffed jointly by attorneys and accountants, </w:t>
      </w:r>
      <w:r w:rsidR="00D20052" w:rsidRPr="00745851">
        <w:rPr>
          <w:rFonts w:ascii="Arial" w:hAnsi="Arial" w:cs="Arial"/>
          <w:color w:val="000000"/>
          <w:sz w:val="24"/>
          <w:szCs w:val="24"/>
        </w:rPr>
        <w:t>under</w:t>
      </w:r>
      <w:r w:rsidRPr="00745851">
        <w:rPr>
          <w:rFonts w:ascii="Arial" w:hAnsi="Arial" w:cs="Arial"/>
          <w:color w:val="000000"/>
          <w:sz w:val="24"/>
          <w:szCs w:val="24"/>
        </w:rPr>
        <w:t xml:space="preserve"> the Division of Enforcement's specialised units structure under Principal Deputy Director Osman Nawaz, reporting a clear chain of accountability rather than an ad hoc task force.</w:t>
      </w:r>
    </w:p>
    <w:p w14:paraId="14E322B1" w14:textId="0041BE33"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Timothy Zimmerman, who joined the Division only in May 2026 as senior advisor to the Director, brings twelve years at an international law firm and a recent role as Deputy General Counsel at a major accounting and professional services firm.</w:t>
      </w:r>
    </w:p>
    <w:p w14:paraId="68B69666" w14:textId="77777777"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Director David Woodcock's framing ties the unit to a broader post-return staffing review ("assessing every aspect of our staffing to ensure that we are aligned to deliver results in our core mission areas"), suggesting this is one output of a wider enforcement reorganisation rather than an isolated addition.</w:t>
      </w:r>
    </w:p>
    <w:p w14:paraId="51586683" w14:textId="22B20EA7" w:rsidR="00745851" w:rsidRPr="00BF18E2" w:rsidRDefault="00000000" w:rsidP="00BF18E2">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remit spans both fraud and non-fraud misconduct</w:t>
      </w:r>
      <w:r w:rsidR="00D20052" w:rsidRPr="00745851">
        <w:rPr>
          <w:rFonts w:ascii="Arial" w:hAnsi="Arial" w:cs="Arial"/>
          <w:color w:val="000000"/>
          <w:sz w:val="24"/>
          <w:szCs w:val="24"/>
        </w:rPr>
        <w:t xml:space="preserve"> including </w:t>
      </w:r>
      <w:r w:rsidRPr="00745851">
        <w:rPr>
          <w:rFonts w:ascii="Arial" w:hAnsi="Arial" w:cs="Arial"/>
          <w:color w:val="000000"/>
          <w:sz w:val="24"/>
          <w:szCs w:val="24"/>
        </w:rPr>
        <w:t>accounting and financial reporting fraud sits alongside "broader violations involving the accounting and auditing profession" generally</w:t>
      </w:r>
      <w:r w:rsidR="00D20052" w:rsidRPr="00745851">
        <w:rPr>
          <w:rFonts w:ascii="Arial" w:hAnsi="Arial" w:cs="Arial"/>
          <w:color w:val="000000"/>
          <w:sz w:val="24"/>
          <w:szCs w:val="24"/>
        </w:rPr>
        <w:t>. A</w:t>
      </w:r>
      <w:r w:rsidRPr="00745851">
        <w:rPr>
          <w:rFonts w:ascii="Arial" w:hAnsi="Arial" w:cs="Arial"/>
          <w:color w:val="000000"/>
          <w:sz w:val="24"/>
          <w:szCs w:val="24"/>
        </w:rPr>
        <w:t xml:space="preserve">uditors and accounting professionals, </w:t>
      </w:r>
      <w:r w:rsidR="00D20052" w:rsidRPr="00745851">
        <w:rPr>
          <w:rFonts w:ascii="Arial" w:hAnsi="Arial" w:cs="Arial"/>
          <w:color w:val="000000"/>
          <w:sz w:val="24"/>
          <w:szCs w:val="24"/>
        </w:rPr>
        <w:t xml:space="preserve">have an </w:t>
      </w:r>
      <w:proofErr w:type="spellStart"/>
      <w:r w:rsidR="00D20052" w:rsidRPr="00745851">
        <w:rPr>
          <w:rFonts w:ascii="Arial" w:hAnsi="Arial" w:cs="Arial"/>
          <w:color w:val="000000"/>
          <w:sz w:val="24"/>
          <w:szCs w:val="24"/>
        </w:rPr>
        <w:t>statutiory</w:t>
      </w:r>
      <w:proofErr w:type="spellEnd"/>
      <w:r w:rsidR="00D20052" w:rsidRPr="00745851">
        <w:rPr>
          <w:rFonts w:ascii="Arial" w:hAnsi="Arial" w:cs="Arial"/>
          <w:color w:val="000000"/>
          <w:sz w:val="24"/>
          <w:szCs w:val="24"/>
        </w:rPr>
        <w:t xml:space="preserve"> obligation </w:t>
      </w:r>
      <w:r w:rsidRPr="00745851">
        <w:rPr>
          <w:rFonts w:ascii="Arial" w:hAnsi="Arial" w:cs="Arial"/>
          <w:color w:val="000000"/>
          <w:sz w:val="24"/>
          <w:szCs w:val="24"/>
        </w:rPr>
        <w:t>the SEC's 2013 Financial Reporting and Audit Task Force.</w:t>
      </w:r>
    </w:p>
    <w:p w14:paraId="1D9F9284"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36"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2248FCFB" w14:textId="77777777" w:rsidR="00745851" w:rsidRPr="00BF18E2" w:rsidRDefault="00745851" w:rsidP="00BF18E2">
      <w:pPr>
        <w:spacing w:after="100"/>
        <w:jc w:val="both"/>
        <w:rPr>
          <w:rFonts w:ascii="Arial" w:hAnsi="Arial" w:cs="Arial"/>
          <w:sz w:val="24"/>
          <w:szCs w:val="24"/>
          <w:lang w:val="ru-RU"/>
        </w:rPr>
      </w:pPr>
    </w:p>
    <w:p w14:paraId="2051933D" w14:textId="77777777" w:rsidR="00DD338A" w:rsidRPr="00745851" w:rsidRDefault="00DD338A" w:rsidP="008F3BE5">
      <w:pPr>
        <w:pStyle w:val="2"/>
        <w:spacing w:before="40" w:after="120"/>
        <w:jc w:val="both"/>
        <w:rPr>
          <w:rFonts w:ascii="Arial" w:hAnsi="Arial" w:cs="Arial"/>
          <w:b/>
          <w:bCs/>
          <w:color w:val="000000"/>
          <w:sz w:val="24"/>
          <w:szCs w:val="24"/>
        </w:rPr>
      </w:pPr>
    </w:p>
    <w:p w14:paraId="19A58D96" w14:textId="4B9B4FCF"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US SEC Commissioner Mark Uyeda Backs Technical Amendments Restoring Rule 0-1(a)(7) to Reflect Federal Court Vacatur</w:t>
      </w:r>
    </w:p>
    <w:p w14:paraId="7F357713" w14:textId="384B56CA"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4 August 2026, </w:t>
      </w:r>
      <w:r w:rsidR="00D20052" w:rsidRPr="00745851">
        <w:rPr>
          <w:rFonts w:ascii="Arial" w:hAnsi="Arial" w:cs="Arial"/>
          <w:color w:val="000000"/>
          <w:sz w:val="24"/>
          <w:szCs w:val="24"/>
        </w:rPr>
        <w:t xml:space="preserve">US </w:t>
      </w:r>
      <w:r w:rsidRPr="00745851">
        <w:rPr>
          <w:rFonts w:ascii="Arial" w:hAnsi="Arial" w:cs="Arial"/>
          <w:color w:val="000000"/>
          <w:sz w:val="24"/>
          <w:szCs w:val="24"/>
        </w:rPr>
        <w:t xml:space="preserve">SEC Commissioner Mark T. Uyeda issued a </w:t>
      </w:r>
      <w:hyperlink r:id="rId37" w:history="1">
        <w:r w:rsidR="00F6554E" w:rsidRPr="00BF18E2">
          <w:rPr>
            <w:rStyle w:val="a5"/>
            <w:rFonts w:ascii="Arial" w:hAnsi="Arial" w:cs="Arial"/>
            <w:color w:val="E97132"/>
            <w:sz w:val="24"/>
            <w:szCs w:val="24"/>
          </w:rPr>
          <w:t>statement</w:t>
        </w:r>
      </w:hyperlink>
      <w:r w:rsidRPr="00745851">
        <w:rPr>
          <w:rFonts w:ascii="Arial" w:hAnsi="Arial" w:cs="Arial"/>
          <w:color w:val="000000"/>
          <w:sz w:val="24"/>
          <w:szCs w:val="24"/>
        </w:rPr>
        <w:t xml:space="preserve"> supporting the Commission's adoption of </w:t>
      </w:r>
      <w:hyperlink r:id="rId38" w:history="1">
        <w:r w:rsidR="00F6554E" w:rsidRPr="00BF18E2">
          <w:rPr>
            <w:rStyle w:val="a5"/>
            <w:rFonts w:ascii="Arial" w:hAnsi="Arial" w:cs="Arial"/>
            <w:color w:val="E97132"/>
            <w:sz w:val="24"/>
            <w:szCs w:val="24"/>
          </w:rPr>
          <w:t>technical amendments to Rule 0-1(a)(7)</w:t>
        </w:r>
      </w:hyperlink>
      <w:r w:rsidRPr="00745851">
        <w:rPr>
          <w:rFonts w:ascii="Arial" w:hAnsi="Arial" w:cs="Arial"/>
          <w:color w:val="000000"/>
          <w:sz w:val="24"/>
          <w:szCs w:val="24"/>
        </w:rPr>
        <w:t xml:space="preserve"> under the Investment Company Act of 1940, updating the Code of Federal Regulations to reflect a 2006 DC Circuit vacatur.</w:t>
      </w:r>
    </w:p>
    <w:p w14:paraId="41260DF6" w14:textId="3AF80E64" w:rsidR="00F6554E" w:rsidRPr="00745851" w:rsidRDefault="00D20052"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w:t>
      </w:r>
      <w:r w:rsidR="00000000" w:rsidRPr="00745851">
        <w:rPr>
          <w:rFonts w:ascii="Arial" w:hAnsi="Arial" w:cs="Arial"/>
          <w:color w:val="000000"/>
          <w:sz w:val="24"/>
          <w:szCs w:val="24"/>
        </w:rPr>
        <w:t>he 75% independent-director and independent-chair requirements were vacated by the DC Circuit in 2006 for an Administrative Procedure Act notice-</w:t>
      </w:r>
      <w:r w:rsidR="00000000" w:rsidRPr="00745851">
        <w:rPr>
          <w:rFonts w:ascii="Arial" w:hAnsi="Arial" w:cs="Arial"/>
          <w:color w:val="000000"/>
          <w:sz w:val="24"/>
          <w:szCs w:val="24"/>
        </w:rPr>
        <w:lastRenderedPageBreak/>
        <w:t>and-comment failure, yet the vacated text remained in the CFR for nearly twenty years until this amendment finally removed it.</w:t>
      </w:r>
    </w:p>
    <w:p w14:paraId="6BF26C28" w14:textId="594CE7E5"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amendments restore the simple-majority disinterested-director requirement that predated the 2004 expansion, while leaving unchanged the other governance standards (independent legal counsel, annual board evaluations, quarterly executive sessions of disinterested directors, and authority to retain advisers) that were never subject to the vacatur.</w:t>
      </w:r>
    </w:p>
    <w:p w14:paraId="4E2C39E9" w14:textId="3AFD25DE"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amendments impose no new substantive obligation, the Commission found good cause to skip notice-and-comment and made the change effective immediately on 6 August 2026</w:t>
      </w:r>
      <w:r w:rsidR="00D20052" w:rsidRPr="00745851">
        <w:rPr>
          <w:rFonts w:ascii="Arial" w:hAnsi="Arial" w:cs="Arial"/>
          <w:color w:val="000000"/>
          <w:sz w:val="24"/>
          <w:szCs w:val="24"/>
        </w:rPr>
        <w:t xml:space="preserve">, </w:t>
      </w:r>
      <w:r w:rsidRPr="00745851">
        <w:rPr>
          <w:rFonts w:ascii="Arial" w:hAnsi="Arial" w:cs="Arial"/>
          <w:color w:val="000000"/>
          <w:sz w:val="24"/>
          <w:szCs w:val="24"/>
        </w:rPr>
        <w:t>an unusually fast turnaround that itself signals the change's non-controversial character.</w:t>
      </w:r>
    </w:p>
    <w:p w14:paraId="25FD6DC5" w14:textId="1CA294E3" w:rsidR="00745851" w:rsidRPr="00BF18E2" w:rsidRDefault="00000000" w:rsidP="00BF18E2">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For funds and business development companies relying on Rule 0-1(a)(7) exemptive conditions, nothing about board composition requirements actually changes in practice, since the simple-majority standard has governed since July 2006 regardless of what the uncorrected CFR text said.</w:t>
      </w:r>
    </w:p>
    <w:p w14:paraId="5072E4C6"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39"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1E0C1449" w14:textId="77777777" w:rsidR="00745851" w:rsidRPr="00BF18E2" w:rsidRDefault="00745851" w:rsidP="00BF18E2">
      <w:pPr>
        <w:spacing w:after="100"/>
        <w:jc w:val="both"/>
        <w:rPr>
          <w:rFonts w:ascii="Arial" w:hAnsi="Arial" w:cs="Arial"/>
          <w:sz w:val="24"/>
          <w:szCs w:val="24"/>
          <w:lang w:val="ru-RU"/>
        </w:rPr>
      </w:pPr>
    </w:p>
    <w:p w14:paraId="7A8E36F9" w14:textId="77777777" w:rsidR="00DD338A" w:rsidRPr="00745851" w:rsidRDefault="00DD338A" w:rsidP="008F3BE5">
      <w:pPr>
        <w:pStyle w:val="2"/>
        <w:spacing w:before="40" w:after="120"/>
        <w:jc w:val="both"/>
        <w:rPr>
          <w:rFonts w:ascii="Arial" w:hAnsi="Arial" w:cs="Arial"/>
          <w:b/>
          <w:bCs/>
          <w:color w:val="000000"/>
          <w:sz w:val="24"/>
          <w:szCs w:val="24"/>
        </w:rPr>
      </w:pPr>
    </w:p>
    <w:p w14:paraId="7F99CF0A" w14:textId="748A593C"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UK FCA Finalises Transaction Reporting Reform in PS26/15, Cutting Industry Costs by £100 Million While Keeping Cryptoasset Derivatives in Scope</w:t>
      </w:r>
    </w:p>
    <w:p w14:paraId="4AA8A51F" w14:textId="7777777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3 August 2026, the UK Financial Conduct Authority (FCA) published </w:t>
      </w:r>
      <w:hyperlink r:id="rId40" w:history="1">
        <w:r w:rsidR="00F6554E" w:rsidRPr="00BF18E2">
          <w:rPr>
            <w:rStyle w:val="a5"/>
            <w:rFonts w:ascii="Arial" w:hAnsi="Arial" w:cs="Arial"/>
            <w:color w:val="E97132"/>
            <w:sz w:val="24"/>
            <w:szCs w:val="24"/>
          </w:rPr>
          <w:t>Policy Statement PS26/15</w:t>
        </w:r>
      </w:hyperlink>
      <w:r w:rsidRPr="00745851">
        <w:rPr>
          <w:rFonts w:ascii="Arial" w:hAnsi="Arial" w:cs="Arial"/>
          <w:color w:val="000000"/>
          <w:sz w:val="24"/>
          <w:szCs w:val="24"/>
        </w:rPr>
        <w:t>, finalising reforms to the UK transaction reporting regime expected to cut firms' reporting costs by more than £100 million a year, with the new regime coming into force on 3 April 2028.</w:t>
      </w:r>
    </w:p>
    <w:p w14:paraId="42D38515" w14:textId="58774725"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Transaction reporting fields fall from 65 to 52, FX derivatives exit the regime entirely (relying instead on UK EMIR data), and reporting ends for roughly 7 million EU-venue-only instruments</w:t>
      </w:r>
      <w:r w:rsidR="00A4181D" w:rsidRPr="00745851">
        <w:rPr>
          <w:rFonts w:ascii="Arial" w:hAnsi="Arial" w:cs="Arial"/>
          <w:color w:val="000000"/>
          <w:sz w:val="24"/>
          <w:szCs w:val="24"/>
        </w:rPr>
        <w:t>,</w:t>
      </w:r>
      <w:r w:rsidRPr="00745851">
        <w:rPr>
          <w:rFonts w:ascii="Arial" w:hAnsi="Arial" w:cs="Arial"/>
          <w:color w:val="000000"/>
          <w:sz w:val="24"/>
          <w:szCs w:val="24"/>
        </w:rPr>
        <w:t xml:space="preserve"> together cutting industry cost from an estimated £493 million to £385 million annually, a £108 million saving.</w:t>
      </w:r>
    </w:p>
    <w:p w14:paraId="47A542E8" w14:textId="2C235151" w:rsidR="00F6554E" w:rsidRPr="00745851" w:rsidRDefault="00000000" w:rsidP="008F3BE5">
      <w:pPr>
        <w:pStyle w:val="a4"/>
        <w:numPr>
          <w:ilvl w:val="0"/>
          <w:numId w:val="2"/>
        </w:numPr>
        <w:spacing w:after="100"/>
        <w:jc w:val="both"/>
        <w:rPr>
          <w:rFonts w:ascii="Arial" w:hAnsi="Arial" w:cs="Arial"/>
          <w:sz w:val="24"/>
          <w:szCs w:val="24"/>
        </w:rPr>
      </w:pPr>
      <w:proofErr w:type="spellStart"/>
      <w:r w:rsidRPr="00745851">
        <w:rPr>
          <w:rFonts w:ascii="Arial" w:hAnsi="Arial" w:cs="Arial"/>
          <w:color w:val="000000"/>
          <w:sz w:val="24"/>
          <w:szCs w:val="24"/>
        </w:rPr>
        <w:t>Cryptoasset</w:t>
      </w:r>
      <w:proofErr w:type="spellEnd"/>
      <w:r w:rsidRPr="00745851">
        <w:rPr>
          <w:rFonts w:ascii="Arial" w:hAnsi="Arial" w:cs="Arial"/>
          <w:color w:val="000000"/>
          <w:sz w:val="24"/>
          <w:szCs w:val="24"/>
        </w:rPr>
        <w:t xml:space="preserve"> derivatives unlike FX derivatives (which duplicate EMIR data) and EU-only instruments (now out of scope entirely), crypto derivatives remain fully reportable under the new 52-field schema with no scope relief</w:t>
      </w:r>
      <w:r w:rsidR="00A4181D" w:rsidRPr="00745851">
        <w:rPr>
          <w:rFonts w:ascii="Arial" w:hAnsi="Arial" w:cs="Arial"/>
          <w:color w:val="000000"/>
          <w:sz w:val="24"/>
          <w:szCs w:val="24"/>
        </w:rPr>
        <w:t>,</w:t>
      </w:r>
      <w:r w:rsidRPr="00745851">
        <w:rPr>
          <w:rFonts w:ascii="Arial" w:hAnsi="Arial" w:cs="Arial"/>
          <w:color w:val="000000"/>
          <w:sz w:val="24"/>
          <w:szCs w:val="24"/>
        </w:rPr>
        <w:t xml:space="preserve"> the FCA's clearest signal yet that transaction-level visibility into crypto derivatives remains a live supervisory priority even as the wider regime is cut back.</w:t>
      </w:r>
    </w:p>
    <w:p w14:paraId="2A0494AD" w14:textId="52128672"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implementation </w:t>
      </w:r>
      <w:r w:rsidR="00A4181D" w:rsidRPr="00745851">
        <w:rPr>
          <w:rFonts w:ascii="Arial" w:hAnsi="Arial" w:cs="Arial"/>
          <w:color w:val="000000"/>
          <w:sz w:val="24"/>
          <w:szCs w:val="24"/>
        </w:rPr>
        <w:t xml:space="preserve">of </w:t>
      </w:r>
      <w:r w:rsidRPr="00745851">
        <w:rPr>
          <w:rFonts w:ascii="Arial" w:hAnsi="Arial" w:cs="Arial"/>
          <w:color w:val="000000"/>
          <w:sz w:val="24"/>
          <w:szCs w:val="24"/>
        </w:rPr>
        <w:t xml:space="preserve">the full regime doesn't commence until 3 April 2028, but the </w:t>
      </w:r>
      <w:r w:rsidR="00A4181D" w:rsidRPr="00745851">
        <w:rPr>
          <w:rFonts w:ascii="Arial" w:hAnsi="Arial" w:cs="Arial"/>
          <w:color w:val="000000"/>
          <w:sz w:val="24"/>
          <w:szCs w:val="24"/>
        </w:rPr>
        <w:t xml:space="preserve">UK </w:t>
      </w:r>
      <w:r w:rsidRPr="00745851">
        <w:rPr>
          <w:rFonts w:ascii="Arial" w:hAnsi="Arial" w:cs="Arial"/>
          <w:color w:val="000000"/>
          <w:sz w:val="24"/>
          <w:szCs w:val="24"/>
        </w:rPr>
        <w:t>FCA allows some firms to adopt certain changes early from 3 August 2026</w:t>
      </w:r>
      <w:r w:rsidR="00B92A03" w:rsidRPr="00745851">
        <w:rPr>
          <w:rFonts w:ascii="Arial" w:hAnsi="Arial" w:cs="Arial"/>
          <w:color w:val="000000"/>
          <w:sz w:val="24"/>
          <w:szCs w:val="24"/>
        </w:rPr>
        <w:t xml:space="preserve">, </w:t>
      </w:r>
      <w:r w:rsidRPr="00745851">
        <w:rPr>
          <w:rFonts w:ascii="Arial" w:hAnsi="Arial" w:cs="Arial"/>
          <w:color w:val="000000"/>
          <w:sz w:val="24"/>
          <w:szCs w:val="24"/>
        </w:rPr>
        <w:t>except the validation rules and schema needed to support some of those early changes won't be finalised until after an October 2026 consultation, so moving too early risks report rejections.</w:t>
      </w:r>
    </w:p>
    <w:p w14:paraId="0CC874E3" w14:textId="2BBC9204"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The default look-back period for correcting historical errors falls from five years to three (cutting resubmission volumes by roughly a third), though the FCA retains discretion to demand the full five years in exceptional cases</w:t>
      </w:r>
      <w:r w:rsidR="00B92A03" w:rsidRPr="00745851">
        <w:rPr>
          <w:rFonts w:ascii="Arial" w:hAnsi="Arial" w:cs="Arial"/>
          <w:color w:val="000000"/>
          <w:sz w:val="24"/>
          <w:szCs w:val="24"/>
        </w:rPr>
        <w:t>,</w:t>
      </w:r>
      <w:r w:rsidRPr="00745851">
        <w:rPr>
          <w:rFonts w:ascii="Arial" w:hAnsi="Arial" w:cs="Arial"/>
          <w:color w:val="000000"/>
          <w:sz w:val="24"/>
          <w:szCs w:val="24"/>
        </w:rPr>
        <w:t xml:space="preserve"> a genuine compliance-cost reduction, not merely a headline number.</w:t>
      </w:r>
    </w:p>
    <w:p w14:paraId="331FA81F" w14:textId="45931788" w:rsidR="00745851" w:rsidRPr="00BF18E2" w:rsidRDefault="002940BA" w:rsidP="00BF18E2">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A</w:t>
      </w:r>
      <w:r w:rsidR="00000000" w:rsidRPr="00745851">
        <w:rPr>
          <w:rFonts w:ascii="Arial" w:hAnsi="Arial" w:cs="Arial"/>
          <w:color w:val="000000"/>
          <w:sz w:val="24"/>
          <w:szCs w:val="24"/>
        </w:rPr>
        <w:t xml:space="preserve"> joint FCA/Bank of England Transaction and Post-Trade Reporting Industry Harmonisation Taskforce held its inaugural meeting in July 2026 and will shape </w:t>
      </w:r>
      <w:r w:rsidR="00000000" w:rsidRPr="00745851">
        <w:rPr>
          <w:rFonts w:ascii="Arial" w:hAnsi="Arial" w:cs="Arial"/>
          <w:color w:val="000000"/>
          <w:sz w:val="24"/>
          <w:szCs w:val="24"/>
        </w:rPr>
        <w:lastRenderedPageBreak/>
        <w:t xml:space="preserve">further convergence between </w:t>
      </w:r>
      <w:proofErr w:type="spellStart"/>
      <w:r w:rsidR="00000000" w:rsidRPr="00745851">
        <w:rPr>
          <w:rFonts w:ascii="Arial" w:hAnsi="Arial" w:cs="Arial"/>
          <w:color w:val="000000"/>
          <w:sz w:val="24"/>
          <w:szCs w:val="24"/>
        </w:rPr>
        <w:t>MiFIR</w:t>
      </w:r>
      <w:proofErr w:type="spellEnd"/>
      <w:r w:rsidR="00000000" w:rsidRPr="00745851">
        <w:rPr>
          <w:rFonts w:ascii="Arial" w:hAnsi="Arial" w:cs="Arial"/>
          <w:color w:val="000000"/>
          <w:sz w:val="24"/>
          <w:szCs w:val="24"/>
        </w:rPr>
        <w:t>-style and EMIR-style reporting</w:t>
      </w:r>
      <w:r w:rsidRPr="00745851">
        <w:rPr>
          <w:rFonts w:ascii="Arial" w:hAnsi="Arial" w:cs="Arial"/>
          <w:color w:val="000000"/>
          <w:sz w:val="24"/>
          <w:szCs w:val="24"/>
        </w:rPr>
        <w:t>,</w:t>
      </w:r>
      <w:r w:rsidR="00000000" w:rsidRPr="00745851">
        <w:rPr>
          <w:rFonts w:ascii="Arial" w:hAnsi="Arial" w:cs="Arial"/>
          <w:color w:val="000000"/>
          <w:sz w:val="24"/>
          <w:szCs w:val="24"/>
        </w:rPr>
        <w:t xml:space="preserve"> firms building reporting-change programmes should design for continued change beyond the 2028 commencement date, not treat it as final.</w:t>
      </w:r>
    </w:p>
    <w:p w14:paraId="2625025B"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41"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74BCCC72" w14:textId="77777777" w:rsidR="00745851" w:rsidRPr="00BF18E2" w:rsidRDefault="00745851" w:rsidP="00BF18E2">
      <w:pPr>
        <w:spacing w:after="100"/>
        <w:jc w:val="both"/>
        <w:rPr>
          <w:rFonts w:ascii="Arial" w:hAnsi="Arial" w:cs="Arial"/>
          <w:sz w:val="24"/>
          <w:szCs w:val="24"/>
          <w:lang w:val="ru-RU"/>
        </w:rPr>
      </w:pPr>
    </w:p>
    <w:p w14:paraId="4D5D513A" w14:textId="77777777" w:rsidR="00DD338A" w:rsidRPr="00745851" w:rsidRDefault="00DD338A" w:rsidP="008F3BE5">
      <w:pPr>
        <w:pStyle w:val="2"/>
        <w:spacing w:before="40" w:after="120"/>
        <w:jc w:val="both"/>
        <w:rPr>
          <w:rFonts w:ascii="Arial" w:hAnsi="Arial" w:cs="Arial"/>
          <w:b/>
          <w:bCs/>
          <w:color w:val="000000"/>
          <w:sz w:val="24"/>
          <w:szCs w:val="24"/>
        </w:rPr>
      </w:pPr>
    </w:p>
    <w:p w14:paraId="11C24609" w14:textId="31776B54" w:rsidR="00F6554E" w:rsidRPr="00745851" w:rsidRDefault="00000000" w:rsidP="008F3BE5">
      <w:pPr>
        <w:pStyle w:val="2"/>
        <w:spacing w:before="40" w:after="120"/>
        <w:jc w:val="both"/>
        <w:rPr>
          <w:rFonts w:ascii="Arial" w:hAnsi="Arial" w:cs="Arial"/>
          <w:sz w:val="24"/>
          <w:szCs w:val="24"/>
        </w:rPr>
      </w:pPr>
      <w:r w:rsidRPr="00745851">
        <w:rPr>
          <w:rFonts w:ascii="Arial" w:hAnsi="Arial" w:cs="Arial"/>
          <w:b/>
          <w:bCs/>
          <w:color w:val="000000"/>
          <w:sz w:val="24"/>
          <w:szCs w:val="24"/>
        </w:rPr>
        <w:t>Singapore MAS | MAS and ABS Establish AI Risk Taskforce to Strengthen Financial Sector Cyber Resilience</w:t>
      </w:r>
    </w:p>
    <w:p w14:paraId="65059378" w14:textId="77777777" w:rsidR="00F6554E" w:rsidRPr="00745851" w:rsidRDefault="00000000" w:rsidP="008F3BE5">
      <w:pPr>
        <w:spacing w:after="160"/>
        <w:jc w:val="both"/>
        <w:rPr>
          <w:rFonts w:ascii="Arial" w:hAnsi="Arial" w:cs="Arial"/>
          <w:sz w:val="24"/>
          <w:szCs w:val="24"/>
        </w:rPr>
      </w:pPr>
      <w:r w:rsidRPr="00745851">
        <w:rPr>
          <w:rFonts w:ascii="Arial" w:hAnsi="Arial" w:cs="Arial"/>
          <w:color w:val="000000"/>
          <w:sz w:val="24"/>
          <w:szCs w:val="24"/>
        </w:rPr>
        <w:t xml:space="preserve">On 28 July 2026, the Monetary Authority of Singapore (MAS) and the Association of Banks in Singapore (ABS) established the </w:t>
      </w:r>
      <w:hyperlink r:id="rId42" w:history="1">
        <w:r w:rsidR="00F6554E" w:rsidRPr="00BF18E2">
          <w:rPr>
            <w:rStyle w:val="a5"/>
            <w:rFonts w:ascii="Arial" w:hAnsi="Arial" w:cs="Arial"/>
            <w:color w:val="E97132"/>
            <w:sz w:val="24"/>
            <w:szCs w:val="24"/>
          </w:rPr>
          <w:t>AI Driven Cyber and Technology Risk Taskforce (ACT)</w:t>
        </w:r>
      </w:hyperlink>
      <w:r w:rsidRPr="00745851">
        <w:rPr>
          <w:rFonts w:ascii="Arial" w:hAnsi="Arial" w:cs="Arial"/>
          <w:color w:val="000000"/>
          <w:sz w:val="24"/>
          <w:szCs w:val="24"/>
        </w:rPr>
        <w:t>, an industry-wide initiative to strengthen cyber and technology resilience against risks posed by frontier artificial intelligence models.</w:t>
      </w:r>
    </w:p>
    <w:p w14:paraId="21F75862" w14:textId="43FE7C1B"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MAS and ABS sit alongside DBS, OCBC, UOB, the Singapore Exchange, NETS and Banking Computer Services</w:t>
      </w:r>
      <w:r w:rsidR="00A4181D" w:rsidRPr="00745851">
        <w:rPr>
          <w:rFonts w:ascii="Arial" w:hAnsi="Arial" w:cs="Arial"/>
          <w:color w:val="000000"/>
          <w:sz w:val="24"/>
          <w:szCs w:val="24"/>
        </w:rPr>
        <w:t>,</w:t>
      </w:r>
      <w:r w:rsidRPr="00745851">
        <w:rPr>
          <w:rFonts w:ascii="Arial" w:hAnsi="Arial" w:cs="Arial"/>
          <w:color w:val="000000"/>
          <w:sz w:val="24"/>
          <w:szCs w:val="24"/>
        </w:rPr>
        <w:t xml:space="preserve"> spanning banking, market infrastructure and payments in one body, rather than a bank-specific or product-specific initiative.</w:t>
      </w:r>
    </w:p>
    <w:p w14:paraId="29066FC2" w14:textId="20E91F8A"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The frontier AI's ability to rapidly identify and exploit vulnerabilities and to automate </w:t>
      </w:r>
      <w:proofErr w:type="spellStart"/>
      <w:r w:rsidRPr="00745851">
        <w:rPr>
          <w:rFonts w:ascii="Arial" w:hAnsi="Arial" w:cs="Arial"/>
          <w:color w:val="000000"/>
          <w:sz w:val="24"/>
          <w:szCs w:val="24"/>
        </w:rPr>
        <w:t>cyber attacks</w:t>
      </w:r>
      <w:proofErr w:type="spellEnd"/>
      <w:r w:rsidRPr="00745851">
        <w:rPr>
          <w:rFonts w:ascii="Arial" w:hAnsi="Arial" w:cs="Arial"/>
          <w:color w:val="000000"/>
          <w:sz w:val="24"/>
          <w:szCs w:val="24"/>
        </w:rPr>
        <w:t xml:space="preserve"> at scale, not generic cybersecurity hygiene  </w:t>
      </w:r>
      <w:r w:rsidR="00A4181D" w:rsidRPr="00745851">
        <w:rPr>
          <w:rFonts w:ascii="Arial" w:hAnsi="Arial" w:cs="Arial"/>
          <w:color w:val="000000"/>
          <w:sz w:val="24"/>
          <w:szCs w:val="24"/>
        </w:rPr>
        <w:t xml:space="preserve">requires </w:t>
      </w:r>
      <w:r w:rsidRPr="00745851">
        <w:rPr>
          <w:rFonts w:ascii="Arial" w:hAnsi="Arial" w:cs="Arial"/>
          <w:color w:val="000000"/>
          <w:sz w:val="24"/>
          <w:szCs w:val="24"/>
        </w:rPr>
        <w:t>response to a step-change in attacker capability rather than routine resilience work.</w:t>
      </w:r>
    </w:p>
    <w:p w14:paraId="76FA3C3E" w14:textId="7ED6037F" w:rsidR="00F6554E" w:rsidRPr="00745851" w:rsidRDefault="00000000" w:rsidP="008F3BE5">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Three concrete </w:t>
      </w:r>
      <w:r w:rsidR="00A4181D" w:rsidRPr="00745851">
        <w:rPr>
          <w:rFonts w:ascii="Arial" w:hAnsi="Arial" w:cs="Arial"/>
          <w:color w:val="000000"/>
          <w:sz w:val="24"/>
          <w:szCs w:val="24"/>
        </w:rPr>
        <w:t xml:space="preserve">steps have been taken i.e. </w:t>
      </w:r>
      <w:r w:rsidRPr="00745851">
        <w:rPr>
          <w:rFonts w:ascii="Arial" w:hAnsi="Arial" w:cs="Arial"/>
          <w:color w:val="000000"/>
          <w:sz w:val="24"/>
          <w:szCs w:val="24"/>
        </w:rPr>
        <w:t>industry-wide sharing of AI cybersecurity use cases and experience, proof-of-concept trials validating advanced AI-enabled defensive tools against the current threat landscape, and development of formal guidance on measures, controls and solutions for financial institutions</w:t>
      </w:r>
      <w:r w:rsidR="00A4181D" w:rsidRPr="00745851">
        <w:rPr>
          <w:rFonts w:ascii="Arial" w:hAnsi="Arial" w:cs="Arial"/>
          <w:color w:val="000000"/>
          <w:sz w:val="24"/>
          <w:szCs w:val="24"/>
        </w:rPr>
        <w:t>,</w:t>
      </w:r>
      <w:r w:rsidRPr="00745851">
        <w:rPr>
          <w:rFonts w:ascii="Arial" w:hAnsi="Arial" w:cs="Arial"/>
          <w:color w:val="000000"/>
          <w:sz w:val="24"/>
          <w:szCs w:val="24"/>
        </w:rPr>
        <w:t xml:space="preserve"> with members having already been working together informally since May 2026, ahead of the formal announcement.</w:t>
      </w:r>
    </w:p>
    <w:p w14:paraId="6A5F30D9" w14:textId="735110F3" w:rsidR="00745851" w:rsidRPr="00BF18E2" w:rsidRDefault="00000000" w:rsidP="00BF18E2">
      <w:pPr>
        <w:pStyle w:val="a4"/>
        <w:numPr>
          <w:ilvl w:val="0"/>
          <w:numId w:val="2"/>
        </w:numPr>
        <w:spacing w:after="100"/>
        <w:jc w:val="both"/>
        <w:rPr>
          <w:rFonts w:ascii="Arial" w:hAnsi="Arial" w:cs="Arial"/>
          <w:sz w:val="24"/>
          <w:szCs w:val="24"/>
        </w:rPr>
      </w:pPr>
      <w:r w:rsidRPr="00745851">
        <w:rPr>
          <w:rFonts w:ascii="Arial" w:hAnsi="Arial" w:cs="Arial"/>
          <w:color w:val="000000"/>
          <w:sz w:val="24"/>
          <w:szCs w:val="24"/>
        </w:rPr>
        <w:t xml:space="preserve">MAS's own regulatory pattern (as seen with FEAT, Veritas and Project </w:t>
      </w:r>
      <w:proofErr w:type="spellStart"/>
      <w:r w:rsidRPr="00745851">
        <w:rPr>
          <w:rFonts w:ascii="Arial" w:hAnsi="Arial" w:cs="Arial"/>
          <w:color w:val="000000"/>
          <w:sz w:val="24"/>
          <w:szCs w:val="24"/>
        </w:rPr>
        <w:t>Mindforge</w:t>
      </w:r>
      <w:proofErr w:type="spellEnd"/>
      <w:r w:rsidRPr="00745851">
        <w:rPr>
          <w:rFonts w:ascii="Arial" w:hAnsi="Arial" w:cs="Arial"/>
          <w:color w:val="000000"/>
          <w:sz w:val="24"/>
          <w:szCs w:val="24"/>
        </w:rPr>
        <w:t>) has consistently moved from voluntary industry-developed guidance to supervisory expectation, so institutions should expect ACT's eventual output to function similarly regardless of its initially voluntary framing.</w:t>
      </w:r>
    </w:p>
    <w:p w14:paraId="33B5534C" w14:textId="77777777" w:rsidR="00745851" w:rsidRDefault="00745851" w:rsidP="00745851">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43"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2E388701" w14:textId="77777777" w:rsidR="00745851" w:rsidRPr="00BF18E2" w:rsidRDefault="00745851" w:rsidP="00BF18E2">
      <w:pPr>
        <w:spacing w:after="100"/>
        <w:jc w:val="both"/>
        <w:rPr>
          <w:rFonts w:ascii="Arial" w:hAnsi="Arial" w:cs="Arial"/>
          <w:sz w:val="24"/>
          <w:szCs w:val="24"/>
          <w:lang w:val="ru-RU"/>
        </w:rPr>
      </w:pPr>
    </w:p>
    <w:p w14:paraId="5636A61E" w14:textId="77777777" w:rsidR="00745851" w:rsidRDefault="00745851" w:rsidP="00745851">
      <w:pPr>
        <w:spacing w:after="100"/>
        <w:jc w:val="both"/>
        <w:rPr>
          <w:rFonts w:ascii="Arial" w:hAnsi="Arial" w:cs="Arial"/>
          <w:sz w:val="24"/>
          <w:szCs w:val="24"/>
          <w:lang w:val="ru-RU"/>
        </w:rPr>
      </w:pPr>
    </w:p>
    <w:p w14:paraId="4E6FDB1F" w14:textId="77777777" w:rsidR="00745851" w:rsidRDefault="00745851" w:rsidP="00745851">
      <w:pPr>
        <w:spacing w:after="100"/>
        <w:jc w:val="both"/>
        <w:rPr>
          <w:rFonts w:ascii="Arial" w:hAnsi="Arial" w:cs="Arial"/>
          <w:sz w:val="24"/>
          <w:szCs w:val="24"/>
          <w:lang w:val="ru-RU"/>
        </w:rPr>
      </w:pPr>
    </w:p>
    <w:p w14:paraId="46DC3BA6" w14:textId="77777777" w:rsidR="00745851" w:rsidRDefault="00745851" w:rsidP="00745851">
      <w:pPr>
        <w:spacing w:after="100"/>
        <w:jc w:val="both"/>
        <w:rPr>
          <w:rFonts w:ascii="Arial" w:hAnsi="Arial" w:cs="Arial"/>
          <w:sz w:val="24"/>
          <w:szCs w:val="24"/>
          <w:lang w:val="ru-RU"/>
        </w:rPr>
      </w:pPr>
    </w:p>
    <w:p w14:paraId="7470A863" w14:textId="77777777" w:rsidR="00745851" w:rsidRDefault="00745851" w:rsidP="00745851">
      <w:pPr>
        <w:spacing w:after="240"/>
        <w:rPr>
          <w:rFonts w:ascii="Arial" w:hAnsi="Arial" w:cs="Arial"/>
          <w:i/>
          <w:iCs/>
          <w:color w:val="000000" w:themeColor="text1"/>
          <w:sz w:val="24"/>
          <w:szCs w:val="24"/>
        </w:rPr>
      </w:pPr>
    </w:p>
    <w:p w14:paraId="20F8E43D" w14:textId="77777777" w:rsidR="00745851" w:rsidRPr="00A659F3" w:rsidRDefault="00745851" w:rsidP="00745851">
      <w:pPr>
        <w:rPr>
          <w:rFonts w:ascii="Arial" w:hAnsi="Arial" w:cs="Arial"/>
          <w:b/>
          <w:color w:val="00000A"/>
          <w:sz w:val="24"/>
          <w:szCs w:val="24"/>
        </w:rPr>
      </w:pPr>
      <w:r w:rsidRPr="00A659F3">
        <w:rPr>
          <w:rFonts w:ascii="Arial" w:hAnsi="Arial" w:cs="Arial"/>
          <w:b/>
          <w:color w:val="00000A"/>
          <w:sz w:val="24"/>
          <w:szCs w:val="24"/>
        </w:rPr>
        <w:t>This newsletter is for information purposes only.</w:t>
      </w:r>
    </w:p>
    <w:p w14:paraId="0758BED2" w14:textId="77777777" w:rsidR="00745851" w:rsidRPr="00A659F3" w:rsidRDefault="00745851" w:rsidP="00745851">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This newsletter and the information contained herein is not intended to be a source of advice or credit analysis with respect to the material presented, and the information and/or documents contained in this newsletter do not constitute investment advice.</w:t>
      </w:r>
    </w:p>
    <w:p w14:paraId="729D3CC7" w14:textId="77777777" w:rsidR="00745851" w:rsidRPr="00A659F3" w:rsidRDefault="00745851" w:rsidP="00745851">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 xml:space="preserve">Cryptocurrency markets are highly volatile and speculative in nature. The value of cryptocurrencies can fluctuate greatly within a short period of time. Investing in </w:t>
      </w:r>
      <w:r w:rsidRPr="00A659F3">
        <w:rPr>
          <w:rFonts w:ascii="Arial" w:hAnsi="Arial" w:cs="Arial"/>
          <w:color w:val="00000A"/>
          <w:sz w:val="24"/>
          <w:szCs w:val="24"/>
        </w:rPr>
        <w:lastRenderedPageBreak/>
        <w:t>cryptocurrencies carries significant risks of loss. You should only invest what you are prepared to lose.</w:t>
      </w:r>
    </w:p>
    <w:p w14:paraId="15318ADE" w14:textId="77777777" w:rsidR="00745851" w:rsidRPr="00A659F3" w:rsidRDefault="00745851" w:rsidP="00745851">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The content on this newsletter is for informational purposes only. You should not construe any such information or other material as legal, tax, investment, financial, or other advice. Nothing contained on our newsletter constitutes a solicitation, recommendation, endorsement, or offer to buy or sell any cryptocurrencies, securities, or other financial instruments.</w:t>
      </w:r>
    </w:p>
    <w:p w14:paraId="28A921C5" w14:textId="77777777" w:rsidR="00745851" w:rsidRPr="00A659F3" w:rsidRDefault="00745851" w:rsidP="00745851">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We do not guarantee or warrant the accuracy, completeness, or usefulness of any information on this site. Any reliance you place on such information is strictly at your own risk. We disclaim all liability and responsibility arising from any reliance placed on such materials by you or any other visitor to this newsletter, or by anyone who may be informed of any of its contents.</w:t>
      </w:r>
    </w:p>
    <w:p w14:paraId="7B81421A" w14:textId="77777777" w:rsidR="00745851" w:rsidRPr="00A659F3" w:rsidRDefault="00745851" w:rsidP="00745851">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Your use of this newsletter and your reliance on any information on the site is solely at your own risk. Under no circumstances shall we have any liability to you for any loss or damage of any kind incurred as a result of the use of the newsletter or reliance on any information provided on the newsletter.</w:t>
      </w:r>
    </w:p>
    <w:p w14:paraId="28D1E0D9" w14:textId="77777777" w:rsidR="00745851" w:rsidRPr="00A659F3" w:rsidRDefault="00745851" w:rsidP="00745851">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 xml:space="preserve">If you do not wish to receive this newsletter please let us know by emailing us at  </w:t>
      </w:r>
      <w:hyperlink r:id="rId44">
        <w:r w:rsidRPr="00A659F3">
          <w:rPr>
            <w:rFonts w:ascii="Arial" w:hAnsi="Arial" w:cs="Arial"/>
            <w:color w:val="00000A"/>
            <w:sz w:val="24"/>
            <w:szCs w:val="24"/>
          </w:rPr>
          <w:t>unsubscribe@charltonslaw.com</w:t>
        </w:r>
      </w:hyperlink>
    </w:p>
    <w:p w14:paraId="0FE23750" w14:textId="7630F87C" w:rsidR="00745851" w:rsidRPr="00BF18E2" w:rsidRDefault="00745851" w:rsidP="00BF18E2">
      <w:pPr>
        <w:pBdr>
          <w:top w:val="nil"/>
          <w:left w:val="nil"/>
          <w:bottom w:val="nil"/>
          <w:right w:val="nil"/>
          <w:between w:val="nil"/>
        </w:pBdr>
        <w:shd w:val="clear" w:color="auto" w:fill="000000"/>
        <w:spacing w:after="200"/>
        <w:jc w:val="center"/>
        <w:rPr>
          <w:rFonts w:ascii="Arial" w:hAnsi="Arial" w:cs="Arial"/>
          <w:color w:val="FFFFFF"/>
          <w:sz w:val="24"/>
          <w:szCs w:val="24"/>
          <w:lang w:val="ru-RU"/>
        </w:rPr>
      </w:pPr>
      <w:bookmarkStart w:id="3" w:name="_heading=h.mbil623dedjd" w:colFirst="0" w:colLast="0"/>
      <w:bookmarkEnd w:id="3"/>
      <w:proofErr w:type="spellStart"/>
      <w:r w:rsidRPr="00A659F3">
        <w:rPr>
          <w:rFonts w:ascii="Arial" w:hAnsi="Arial" w:cs="Arial"/>
          <w:color w:val="FFFFFF"/>
          <w:sz w:val="24"/>
          <w:szCs w:val="24"/>
        </w:rPr>
        <w:t>Charltons</w:t>
      </w:r>
      <w:proofErr w:type="spellEnd"/>
      <w:r w:rsidRPr="00A659F3">
        <w:rPr>
          <w:rFonts w:ascii="Arial" w:hAnsi="Arial" w:cs="Arial"/>
          <w:color w:val="FFFFFF"/>
          <w:sz w:val="24"/>
          <w:szCs w:val="24"/>
        </w:rPr>
        <w:t xml:space="preserve"> Quantum – Quantum Updates 7</w:t>
      </w:r>
      <w:r>
        <w:rPr>
          <w:rFonts w:ascii="Arial" w:hAnsi="Arial" w:cs="Arial"/>
          <w:color w:val="FFFFFF"/>
          <w:sz w:val="24"/>
          <w:szCs w:val="24"/>
        </w:rPr>
        <w:t>1</w:t>
      </w:r>
      <w:r w:rsidRPr="00A659F3">
        <w:rPr>
          <w:rFonts w:ascii="Arial" w:hAnsi="Arial" w:cs="Arial"/>
          <w:color w:val="FFFFFF"/>
          <w:sz w:val="24"/>
          <w:szCs w:val="24"/>
        </w:rPr>
        <w:t xml:space="preserve"> – </w:t>
      </w:r>
      <w:r>
        <w:rPr>
          <w:rFonts w:ascii="Arial" w:hAnsi="Arial" w:cs="Arial"/>
          <w:color w:val="FFFFFF"/>
          <w:sz w:val="24"/>
          <w:szCs w:val="24"/>
          <w:lang w:val="en-US"/>
        </w:rPr>
        <w:t>September</w:t>
      </w:r>
      <w:r w:rsidRPr="00A659F3">
        <w:rPr>
          <w:rFonts w:ascii="Arial" w:hAnsi="Arial" w:cs="Arial"/>
          <w:color w:val="FFFFFF"/>
          <w:sz w:val="24"/>
          <w:szCs w:val="24"/>
        </w:rPr>
        <w:t xml:space="preserve"> 2026</w:t>
      </w:r>
    </w:p>
    <w:sectPr w:rsidR="00745851" w:rsidRPr="00BF18E2" w:rsidSect="00DD338A">
      <w:footerReference w:type="even" r:id="rId45"/>
      <w:footerReference w:type="default" r:id="rId4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4BE124" w14:textId="77777777" w:rsidR="004B3B84" w:rsidRDefault="004B3B84" w:rsidP="008F3BE5">
      <w:r>
        <w:separator/>
      </w:r>
    </w:p>
  </w:endnote>
  <w:endnote w:type="continuationSeparator" w:id="0">
    <w:p w14:paraId="12F13E4F" w14:textId="77777777" w:rsidR="004B3B84" w:rsidRDefault="004B3B84" w:rsidP="008F3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
      </w:rPr>
      <w:id w:val="-1031801231"/>
      <w:docPartObj>
        <w:docPartGallery w:val="Page Numbers (Bottom of Page)"/>
        <w:docPartUnique/>
      </w:docPartObj>
    </w:sdtPr>
    <w:sdtContent>
      <w:p w14:paraId="5FEFB9D2" w14:textId="64E2861F" w:rsidR="008F3BE5" w:rsidRDefault="008F3BE5" w:rsidP="00E15B46">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separate"/>
        </w:r>
        <w:r>
          <w:rPr>
            <w:rStyle w:val="af"/>
          </w:rPr>
          <w:fldChar w:fldCharType="end"/>
        </w:r>
      </w:p>
    </w:sdtContent>
  </w:sdt>
  <w:p w14:paraId="6B98CCA5" w14:textId="77777777" w:rsidR="008F3BE5" w:rsidRDefault="008F3BE5" w:rsidP="008F3BE5">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
      </w:rPr>
      <w:id w:val="2144616868"/>
      <w:docPartObj>
        <w:docPartGallery w:val="Page Numbers (Bottom of Page)"/>
        <w:docPartUnique/>
      </w:docPartObj>
    </w:sdtPr>
    <w:sdtContent>
      <w:p w14:paraId="61247488" w14:textId="3CE1F537" w:rsidR="008F3BE5" w:rsidRDefault="008F3BE5" w:rsidP="00E15B46">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separate"/>
        </w:r>
        <w:r>
          <w:rPr>
            <w:rStyle w:val="af"/>
            <w:noProof/>
          </w:rPr>
          <w:t>1</w:t>
        </w:r>
        <w:r>
          <w:rPr>
            <w:rStyle w:val="af"/>
          </w:rPr>
          <w:fldChar w:fldCharType="end"/>
        </w:r>
      </w:p>
    </w:sdtContent>
  </w:sdt>
  <w:p w14:paraId="31388A75" w14:textId="77777777" w:rsidR="008F3BE5" w:rsidRDefault="008F3BE5" w:rsidP="008F3BE5">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A45496" w14:textId="77777777" w:rsidR="004B3B84" w:rsidRDefault="004B3B84" w:rsidP="008F3BE5">
      <w:r>
        <w:separator/>
      </w:r>
    </w:p>
  </w:footnote>
  <w:footnote w:type="continuationSeparator" w:id="0">
    <w:p w14:paraId="13A721A4" w14:textId="77777777" w:rsidR="004B3B84" w:rsidRDefault="004B3B84" w:rsidP="008F3B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38705D"/>
    <w:multiLevelType w:val="hybridMultilevel"/>
    <w:tmpl w:val="F0D6D786"/>
    <w:lvl w:ilvl="0" w:tplc="ED821A84">
      <w:start w:val="1"/>
      <w:numFmt w:val="bullet"/>
      <w:lvlText w:val="•"/>
      <w:lvlJc w:val="left"/>
      <w:pPr>
        <w:ind w:left="576" w:hanging="288"/>
      </w:pPr>
    </w:lvl>
    <w:lvl w:ilvl="1" w:tplc="8A569406">
      <w:numFmt w:val="decimal"/>
      <w:lvlText w:val=""/>
      <w:lvlJc w:val="left"/>
    </w:lvl>
    <w:lvl w:ilvl="2" w:tplc="0FD252EA">
      <w:numFmt w:val="decimal"/>
      <w:lvlText w:val=""/>
      <w:lvlJc w:val="left"/>
    </w:lvl>
    <w:lvl w:ilvl="3" w:tplc="4FCE00F2">
      <w:numFmt w:val="decimal"/>
      <w:lvlText w:val=""/>
      <w:lvlJc w:val="left"/>
    </w:lvl>
    <w:lvl w:ilvl="4" w:tplc="C4441F80">
      <w:numFmt w:val="decimal"/>
      <w:lvlText w:val=""/>
      <w:lvlJc w:val="left"/>
    </w:lvl>
    <w:lvl w:ilvl="5" w:tplc="BC2EC9B6">
      <w:numFmt w:val="decimal"/>
      <w:lvlText w:val=""/>
      <w:lvlJc w:val="left"/>
    </w:lvl>
    <w:lvl w:ilvl="6" w:tplc="E07212C4">
      <w:numFmt w:val="decimal"/>
      <w:lvlText w:val=""/>
      <w:lvlJc w:val="left"/>
    </w:lvl>
    <w:lvl w:ilvl="7" w:tplc="6CA6A842">
      <w:numFmt w:val="decimal"/>
      <w:lvlText w:val=""/>
      <w:lvlJc w:val="left"/>
    </w:lvl>
    <w:lvl w:ilvl="8" w:tplc="619654E6">
      <w:numFmt w:val="decimal"/>
      <w:lvlText w:val=""/>
      <w:lvlJc w:val="left"/>
    </w:lvl>
  </w:abstractNum>
  <w:abstractNum w:abstractNumId="1" w15:restartNumberingAfterBreak="0">
    <w:nsid w:val="4465126A"/>
    <w:multiLevelType w:val="hybridMultilevel"/>
    <w:tmpl w:val="47E2F61C"/>
    <w:lvl w:ilvl="0" w:tplc="3A8A1CE8">
      <w:start w:val="1"/>
      <w:numFmt w:val="bullet"/>
      <w:lvlText w:val="•"/>
      <w:lvlJc w:val="left"/>
      <w:pPr>
        <w:ind w:left="720" w:hanging="360"/>
      </w:pPr>
    </w:lvl>
    <w:lvl w:ilvl="1" w:tplc="5E74DED0">
      <w:numFmt w:val="decimal"/>
      <w:lvlText w:val=""/>
      <w:lvlJc w:val="left"/>
    </w:lvl>
    <w:lvl w:ilvl="2" w:tplc="90BACD9E">
      <w:numFmt w:val="decimal"/>
      <w:lvlText w:val=""/>
      <w:lvlJc w:val="left"/>
    </w:lvl>
    <w:lvl w:ilvl="3" w:tplc="D2766F86">
      <w:numFmt w:val="decimal"/>
      <w:lvlText w:val=""/>
      <w:lvlJc w:val="left"/>
    </w:lvl>
    <w:lvl w:ilvl="4" w:tplc="FC5038E8">
      <w:numFmt w:val="decimal"/>
      <w:lvlText w:val=""/>
      <w:lvlJc w:val="left"/>
    </w:lvl>
    <w:lvl w:ilvl="5" w:tplc="9BB4F3C2">
      <w:numFmt w:val="decimal"/>
      <w:lvlText w:val=""/>
      <w:lvlJc w:val="left"/>
    </w:lvl>
    <w:lvl w:ilvl="6" w:tplc="1682C37C">
      <w:numFmt w:val="decimal"/>
      <w:lvlText w:val=""/>
      <w:lvlJc w:val="left"/>
    </w:lvl>
    <w:lvl w:ilvl="7" w:tplc="14CE7CA8">
      <w:numFmt w:val="decimal"/>
      <w:lvlText w:val=""/>
      <w:lvlJc w:val="left"/>
    </w:lvl>
    <w:lvl w:ilvl="8" w:tplc="CD4205C2">
      <w:numFmt w:val="decimal"/>
      <w:lvlText w:val=""/>
      <w:lvlJc w:val="left"/>
    </w:lvl>
  </w:abstractNum>
  <w:abstractNum w:abstractNumId="2" w15:restartNumberingAfterBreak="0">
    <w:nsid w:val="7AB9698C"/>
    <w:multiLevelType w:val="hybridMultilevel"/>
    <w:tmpl w:val="D764943A"/>
    <w:lvl w:ilvl="0" w:tplc="FCD88E58">
      <w:start w:val="1"/>
      <w:numFmt w:val="bullet"/>
      <w:lvlText w:val="●"/>
      <w:lvlJc w:val="left"/>
      <w:pPr>
        <w:ind w:left="720" w:hanging="360"/>
      </w:pPr>
    </w:lvl>
    <w:lvl w:ilvl="1" w:tplc="62BE8034">
      <w:start w:val="1"/>
      <w:numFmt w:val="bullet"/>
      <w:lvlText w:val="○"/>
      <w:lvlJc w:val="left"/>
      <w:pPr>
        <w:ind w:left="1440" w:hanging="360"/>
      </w:pPr>
    </w:lvl>
    <w:lvl w:ilvl="2" w:tplc="C1B000F2">
      <w:start w:val="1"/>
      <w:numFmt w:val="bullet"/>
      <w:lvlText w:val="■"/>
      <w:lvlJc w:val="left"/>
      <w:pPr>
        <w:ind w:left="2160" w:hanging="360"/>
      </w:pPr>
    </w:lvl>
    <w:lvl w:ilvl="3" w:tplc="84FE699A">
      <w:start w:val="1"/>
      <w:numFmt w:val="bullet"/>
      <w:lvlText w:val="●"/>
      <w:lvlJc w:val="left"/>
      <w:pPr>
        <w:ind w:left="2880" w:hanging="360"/>
      </w:pPr>
    </w:lvl>
    <w:lvl w:ilvl="4" w:tplc="977A9188">
      <w:start w:val="1"/>
      <w:numFmt w:val="bullet"/>
      <w:lvlText w:val="○"/>
      <w:lvlJc w:val="left"/>
      <w:pPr>
        <w:ind w:left="3600" w:hanging="360"/>
      </w:pPr>
    </w:lvl>
    <w:lvl w:ilvl="5" w:tplc="8D6001F2">
      <w:start w:val="1"/>
      <w:numFmt w:val="bullet"/>
      <w:lvlText w:val="■"/>
      <w:lvlJc w:val="left"/>
      <w:pPr>
        <w:ind w:left="4320" w:hanging="360"/>
      </w:pPr>
    </w:lvl>
    <w:lvl w:ilvl="6" w:tplc="013E07F2">
      <w:start w:val="1"/>
      <w:numFmt w:val="bullet"/>
      <w:lvlText w:val="●"/>
      <w:lvlJc w:val="left"/>
      <w:pPr>
        <w:ind w:left="5040" w:hanging="360"/>
      </w:pPr>
    </w:lvl>
    <w:lvl w:ilvl="7" w:tplc="40F0ADF8">
      <w:start w:val="1"/>
      <w:numFmt w:val="bullet"/>
      <w:lvlText w:val="●"/>
      <w:lvlJc w:val="left"/>
      <w:pPr>
        <w:ind w:left="5760" w:hanging="360"/>
      </w:pPr>
    </w:lvl>
    <w:lvl w:ilvl="8" w:tplc="7C0A2C6C">
      <w:start w:val="1"/>
      <w:numFmt w:val="bullet"/>
      <w:lvlText w:val="●"/>
      <w:lvlJc w:val="left"/>
      <w:pPr>
        <w:ind w:left="6480" w:hanging="360"/>
      </w:pPr>
    </w:lvl>
  </w:abstractNum>
  <w:num w:numId="1" w16cid:durableId="357390228">
    <w:abstractNumId w:val="2"/>
    <w:lvlOverride w:ilvl="0">
      <w:startOverride w:val="1"/>
    </w:lvlOverride>
  </w:num>
  <w:num w:numId="2" w16cid:durableId="1873221858">
    <w:abstractNumId w:val="0"/>
    <w:lvlOverride w:ilvl="0">
      <w:startOverride w:val="1"/>
    </w:lvlOverride>
  </w:num>
  <w:num w:numId="3" w16cid:durableId="1862664289">
    <w:abstractNumId w:val="1"/>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ikhail Zavalko">
    <w15:presenceInfo w15:providerId="None" w15:userId="Mikhail Zavalko"/>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54E"/>
    <w:rsid w:val="00061D4A"/>
    <w:rsid w:val="0018447E"/>
    <w:rsid w:val="002940BA"/>
    <w:rsid w:val="00343BEC"/>
    <w:rsid w:val="00440E85"/>
    <w:rsid w:val="004B3B84"/>
    <w:rsid w:val="00740EDC"/>
    <w:rsid w:val="00745851"/>
    <w:rsid w:val="00782285"/>
    <w:rsid w:val="008F3BE5"/>
    <w:rsid w:val="00956C16"/>
    <w:rsid w:val="00A17E76"/>
    <w:rsid w:val="00A4181D"/>
    <w:rsid w:val="00B92A03"/>
    <w:rsid w:val="00BF18E2"/>
    <w:rsid w:val="00D20052"/>
    <w:rsid w:val="00D45032"/>
    <w:rsid w:val="00DD338A"/>
    <w:rsid w:val="00E85977"/>
    <w:rsid w:val="00F079DB"/>
    <w:rsid w:val="00F655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4108A659"/>
  <w15:docId w15:val="{7DC9367D-F059-7C43-B4A2-237BDB3E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character" w:styleId="ac">
    <w:name w:val="Unresolved Mention"/>
    <w:basedOn w:val="a0"/>
    <w:uiPriority w:val="99"/>
    <w:semiHidden/>
    <w:unhideWhenUsed/>
    <w:rsid w:val="008F3BE5"/>
    <w:rPr>
      <w:color w:val="605E5C"/>
      <w:shd w:val="clear" w:color="auto" w:fill="E1DFDD"/>
    </w:rPr>
  </w:style>
  <w:style w:type="paragraph" w:styleId="ad">
    <w:name w:val="footer"/>
    <w:basedOn w:val="a"/>
    <w:link w:val="ae"/>
    <w:uiPriority w:val="99"/>
    <w:unhideWhenUsed/>
    <w:rsid w:val="008F3BE5"/>
    <w:pPr>
      <w:tabs>
        <w:tab w:val="center" w:pos="4513"/>
        <w:tab w:val="right" w:pos="9026"/>
      </w:tabs>
    </w:pPr>
  </w:style>
  <w:style w:type="character" w:customStyle="1" w:styleId="ae">
    <w:name w:val="Нижний колонтитул Знак"/>
    <w:basedOn w:val="a0"/>
    <w:link w:val="ad"/>
    <w:uiPriority w:val="99"/>
    <w:rsid w:val="008F3BE5"/>
  </w:style>
  <w:style w:type="character" w:styleId="af">
    <w:name w:val="page number"/>
    <w:basedOn w:val="a0"/>
    <w:uiPriority w:val="99"/>
    <w:semiHidden/>
    <w:unhideWhenUsed/>
    <w:rsid w:val="008F3BE5"/>
  </w:style>
  <w:style w:type="paragraph" w:styleId="af0">
    <w:name w:val="Revision"/>
    <w:hidden/>
    <w:uiPriority w:val="99"/>
    <w:semiHidden/>
    <w:rsid w:val="00184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ftc.gov/PressRoom/PressReleases/9286-26" TargetMode="External"/><Relationship Id="rId18" Type="http://schemas.openxmlformats.org/officeDocument/2006/relationships/hyperlink" Target="https://www.sec.gov/newsroom/speeches-statements/atkins-statement-regulation-crypto-assets-081826" TargetMode="External"/><Relationship Id="rId26" Type="http://schemas.openxmlformats.org/officeDocument/2006/relationships/hyperlink" Target="https://www.cftc.gov/media/14476/IACMeetingAgenda082026/download" TargetMode="External"/><Relationship Id="rId39" Type="http://schemas.openxmlformats.org/officeDocument/2006/relationships/hyperlink" Target="https://charltonsquantum.com/" TargetMode="External"/><Relationship Id="rId21" Type="http://schemas.openxmlformats.org/officeDocument/2006/relationships/hyperlink" Target="https://charltonsquantum.com/" TargetMode="External"/><Relationship Id="rId34" Type="http://schemas.openxmlformats.org/officeDocument/2006/relationships/hyperlink" Target="https://charltonsquantum.com/" TargetMode="External"/><Relationship Id="rId42" Type="http://schemas.openxmlformats.org/officeDocument/2006/relationships/hyperlink" Target="https://www.mas.gov.sg/news/media-releases/2026/mas-and-abs-establish-taskforce-to-strengthen-cyber-and-technology-resilience" TargetMode="External"/><Relationship Id="rId47" Type="http://schemas.openxmlformats.org/officeDocument/2006/relationships/fontTable" Target="fontTable.xml"/><Relationship Id="rId7" Type="http://schemas.openxmlformats.org/officeDocument/2006/relationships/hyperlink" Target="https://charltonsquantum.com/quantum-update-69-united-states-cftc-appoints-dr-patrick-j-schorno-as-chief-economist-july-2026/" TargetMode="External"/><Relationship Id="rId2" Type="http://schemas.openxmlformats.org/officeDocument/2006/relationships/styles" Target="styles.xml"/><Relationship Id="rId16" Type="http://schemas.openxmlformats.org/officeDocument/2006/relationships/hyperlink" Target="https://www.cftc.gov/PressRoom/SpeechesTestimony/opaselig9" TargetMode="External"/><Relationship Id="rId29" Type="http://schemas.openxmlformats.org/officeDocument/2006/relationships/hyperlink" Target="https://charltonsquantum.com/" TargetMode="External"/><Relationship Id="rId11" Type="http://schemas.openxmlformats.org/officeDocument/2006/relationships/hyperlink" Target="https://apps.sfc.hk/edistributionWeb/api/circular/openFile?lang=EN&amp;refNo=26EC51" TargetMode="External"/><Relationship Id="rId24" Type="http://schemas.openxmlformats.org/officeDocument/2006/relationships/hyperlink" Target="https://www.sec.gov/newsroom/speeches-statements/corpfin-statement-rule-14a-8-process-081426" TargetMode="External"/><Relationship Id="rId32" Type="http://schemas.openxmlformats.org/officeDocument/2006/relationships/hyperlink" Target="https://charltonsquantum.com/" TargetMode="External"/><Relationship Id="rId37" Type="http://schemas.openxmlformats.org/officeDocument/2006/relationships/hyperlink" Target="https://www.sec.gov/newsroom/speeches-statements/uyeda-statement-technical-amendments-rule-01a7-080326" TargetMode="External"/><Relationship Id="rId40" Type="http://schemas.openxmlformats.org/officeDocument/2006/relationships/hyperlink" Target="https://www.fca.org.uk/publication/policy/ps26-15.pdf"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charltonsquantum.com/" TargetMode="External"/><Relationship Id="rId23" Type="http://schemas.openxmlformats.org/officeDocument/2006/relationships/hyperlink" Target="https://charltonsquantum.com/" TargetMode="External"/><Relationship Id="rId28" Type="http://schemas.openxmlformats.org/officeDocument/2006/relationships/hyperlink" Target="https://www.cftc.gov/PressRoom/PressReleases/9279-26" TargetMode="External"/><Relationship Id="rId36" Type="http://schemas.openxmlformats.org/officeDocument/2006/relationships/hyperlink" Target="https://charltonsquantum.com/" TargetMode="External"/><Relationship Id="rId49" Type="http://schemas.openxmlformats.org/officeDocument/2006/relationships/theme" Target="theme/theme1.xml"/><Relationship Id="rId10" Type="http://schemas.openxmlformats.org/officeDocument/2006/relationships/hyperlink" Target="https://apps.sfc.hk/edistributionWeb/api/circular/openFile?lang=EN&amp;refNo=26EC51" TargetMode="External"/><Relationship Id="rId19" Type="http://schemas.openxmlformats.org/officeDocument/2006/relationships/hyperlink" Target="https://charltonsquantum.com/" TargetMode="External"/><Relationship Id="rId31" Type="http://schemas.openxmlformats.org/officeDocument/2006/relationships/hyperlink" Target="https://www.cftc.gov/Exit/index.htm?https://www.economist.com/by-invitation/2026/08/06/the-new-era-of-finance-needs-innovation-more-than-consensus" TargetMode="External"/><Relationship Id="rId44" Type="http://schemas.openxmlformats.org/officeDocument/2006/relationships/hyperlink" Target="mailto:unsubscribe@charltonslaw.com?subject=unsubscribe%20-Hong%20Kong%20Law-" TargetMode="External"/><Relationship Id="rId4" Type="http://schemas.openxmlformats.org/officeDocument/2006/relationships/webSettings" Target="webSettings.xml"/><Relationship Id="rId9" Type="http://schemas.openxmlformats.org/officeDocument/2006/relationships/hyperlink" Target="https://charltonsquantum.com/" TargetMode="External"/><Relationship Id="rId14" Type="http://schemas.openxmlformats.org/officeDocument/2006/relationships/hyperlink" Target="https://www.govinfo.gov/content/pkg/FR-2026-08-21/pdf/2026-17163.pdf" TargetMode="External"/><Relationship Id="rId22" Type="http://schemas.openxmlformats.org/officeDocument/2006/relationships/hyperlink" Target="https://www.asic.gov.au/about-asic/news-centre/find-a-media-release/2026-releases/26-195mr-asic-warns-scammers-are-using-ai-to-spin-vast-webs-of-deception" TargetMode="External"/><Relationship Id="rId27" Type="http://schemas.openxmlformats.org/officeDocument/2006/relationships/hyperlink" Target="https://charltonsquantum.com/" TargetMode="External"/><Relationship Id="rId30" Type="http://schemas.openxmlformats.org/officeDocument/2006/relationships/hyperlink" Target="https://www.cftc.gov/PressRoom/SpeechesTestimony/seligstatement080626" TargetMode="External"/><Relationship Id="rId35" Type="http://schemas.openxmlformats.org/officeDocument/2006/relationships/hyperlink" Target="https://www.sec.gov/newsroom/press-releases/2026-72-sec-establishes-financial-reporting-accounting-unit-enforcement-division" TargetMode="External"/><Relationship Id="rId43" Type="http://schemas.openxmlformats.org/officeDocument/2006/relationships/hyperlink" Target="https://charltonsquantum.com/" TargetMode="External"/><Relationship Id="rId48" Type="http://schemas.microsoft.com/office/2011/relationships/people" Target="people.xml"/><Relationship Id="rId8" Type="http://schemas.openxmlformats.org/officeDocument/2006/relationships/hyperlink" Target="https://www.cftc.gov/PressRoom/SpeechesTestimony" TargetMode="External"/><Relationship Id="rId3" Type="http://schemas.openxmlformats.org/officeDocument/2006/relationships/settings" Target="settings.xml"/><Relationship Id="rId12" Type="http://schemas.openxmlformats.org/officeDocument/2006/relationships/hyperlink" Target="https://charltonsquantum.com/" TargetMode="External"/><Relationship Id="rId17" Type="http://schemas.openxmlformats.org/officeDocument/2006/relationships/hyperlink" Target="https://charltonsquantum.com/" TargetMode="External"/><Relationship Id="rId25" Type="http://schemas.openxmlformats.org/officeDocument/2006/relationships/hyperlink" Target="https://charltonsquantum.com/" TargetMode="External"/><Relationship Id="rId33" Type="http://schemas.openxmlformats.org/officeDocument/2006/relationships/hyperlink" Target="https://www.cima.ky/bitmart-et-al-not-regulated-by-cima" TargetMode="External"/><Relationship Id="rId38" Type="http://schemas.openxmlformats.org/officeDocument/2006/relationships/hyperlink" Target="https://www.sec.gov/files/rules/final/2026/ic-36282.pdf" TargetMode="External"/><Relationship Id="rId46" Type="http://schemas.openxmlformats.org/officeDocument/2006/relationships/footer" Target="footer2.xml"/><Relationship Id="rId20" Type="http://schemas.openxmlformats.org/officeDocument/2006/relationships/hyperlink" Target="https://www.sec.gov/newsroom/press-releases/2026-77-sec-charges-former-executives-fraud-connection-19-billion-collapse-subprime-auto-lender-tricolor" TargetMode="External"/><Relationship Id="rId41" Type="http://schemas.openxmlformats.org/officeDocument/2006/relationships/hyperlink" Target="https://charltonsquantum.com/"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13</Pages>
  <Words>5599</Words>
  <Characters>31915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Mikhail Zavalko</cp:lastModifiedBy>
  <cp:revision>6</cp:revision>
  <dcterms:created xsi:type="dcterms:W3CDTF">2026-09-29T07:06:00Z</dcterms:created>
  <dcterms:modified xsi:type="dcterms:W3CDTF">2026-09-30T04:58:00Z</dcterms:modified>
</cp:coreProperties>
</file>