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43A0CC6B"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bookmarkStart w:id="0" w:name="_Hlk175278277"/>
      <w:r w:rsidR="00CC5439">
        <w:rPr>
          <w:rFonts w:ascii="Arial" w:eastAsia="Cambria" w:hAnsi="Arial" w:cs="Arial"/>
          <w:color w:val="FFFFFF"/>
          <w:lang w:val="en-GB"/>
        </w:rPr>
        <w:t>Cayman Islands</w:t>
      </w:r>
      <w:r w:rsidR="00ED60A3" w:rsidRPr="00ED60A3">
        <w:rPr>
          <w:rFonts w:ascii="Arial" w:eastAsia="Cambria" w:hAnsi="Arial" w:cs="Arial"/>
          <w:color w:val="FFFFFF"/>
          <w:lang w:val="en-GB"/>
        </w:rPr>
        <w:t xml:space="preserve"> </w:t>
      </w:r>
      <w:bookmarkEnd w:id="0"/>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p w14:paraId="5EF4FE96" w14:textId="4B8EB461"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051EED">
        <w:rPr>
          <w:rFonts w:ascii="Arial" w:eastAsia="Cambria" w:hAnsi="Arial" w:cs="Arial"/>
          <w:sz w:val="28"/>
          <w:szCs w:val="24"/>
          <w:lang w:val="en-GB"/>
        </w:rPr>
        <w:instrText>HYPERLINK "https://charltonsquantum.com/cayman-islands-virtual-assets-regulation/"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56B2851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C5439">
                              <w:rPr>
                                <w:b/>
                                <w:bCs/>
                                <w:color w:val="FF6E00"/>
                                <w:sz w:val="72"/>
                                <w:szCs w:val="72"/>
                              </w:rPr>
                              <w:t xml:space="preserve">the </w:t>
                            </w:r>
                            <w:r w:rsidR="00CC5439" w:rsidRPr="00CC5439">
                              <w:rPr>
                                <w:b/>
                                <w:bCs/>
                                <w:color w:val="FF6E00"/>
                                <w:sz w:val="72"/>
                                <w:szCs w:val="72"/>
                              </w:rPr>
                              <w:t>Cayman Islands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56B2851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C5439">
                        <w:rPr>
                          <w:b/>
                          <w:bCs/>
                          <w:color w:val="FF6E00"/>
                          <w:sz w:val="72"/>
                          <w:szCs w:val="72"/>
                        </w:rPr>
                        <w:t xml:space="preserve">the </w:t>
                      </w:r>
                      <w:r w:rsidR="00CC5439" w:rsidRPr="00CC5439">
                        <w:rPr>
                          <w:b/>
                          <w:bCs/>
                          <w:color w:val="FF6E00"/>
                          <w:sz w:val="72"/>
                          <w:szCs w:val="72"/>
                        </w:rPr>
                        <w:t>Cayman Islands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2F41FB4" w14:textId="486CAC1A" w:rsidR="00B6504A" w:rsidRPr="003A119B" w:rsidRDefault="009E6883" w:rsidP="003A119B">
      <w:pPr>
        <w:pStyle w:val="ListParagraph"/>
        <w:numPr>
          <w:ilvl w:val="0"/>
          <w:numId w:val="19"/>
        </w:numPr>
        <w:spacing w:after="0" w:line="240" w:lineRule="auto"/>
        <w:jc w:val="both"/>
        <w:rPr>
          <w:rFonts w:eastAsia="Times New Roman"/>
          <w:b/>
          <w:bCs/>
          <w:lang w:val="en-PH"/>
        </w:rPr>
      </w:pPr>
      <w:r w:rsidRPr="003A119B">
        <w:rPr>
          <w:rFonts w:eastAsia="Times New Roman"/>
          <w:b/>
          <w:lang w:val="en-SG"/>
        </w:rPr>
        <w:lastRenderedPageBreak/>
        <w:t>Virtual asset laws and regulations in</w:t>
      </w:r>
      <w:r w:rsidR="00C12448" w:rsidRPr="003A119B">
        <w:rPr>
          <w:rFonts w:eastAsia="Times New Roman"/>
          <w:b/>
          <w:lang w:val="en-SG"/>
        </w:rPr>
        <w:t xml:space="preserve"> the</w:t>
      </w:r>
      <w:r w:rsidR="004A5BEB" w:rsidRPr="003A119B">
        <w:rPr>
          <w:rFonts w:eastAsia="Times New Roman"/>
          <w:b/>
          <w:lang w:val="en-SG"/>
        </w:rPr>
        <w:t xml:space="preserve"> </w:t>
      </w:r>
      <w:r w:rsidR="00A421DB" w:rsidRPr="003A119B">
        <w:rPr>
          <w:rFonts w:eastAsia="Times New Roman"/>
          <w:b/>
          <w:bCs/>
          <w:lang w:val="en-GB"/>
        </w:rPr>
        <w:t>Cayman Islands</w:t>
      </w:r>
    </w:p>
    <w:p w14:paraId="5BEED911" w14:textId="77777777" w:rsidR="00E93EDE" w:rsidRPr="003A119B" w:rsidRDefault="00E93EDE" w:rsidP="003A119B">
      <w:pPr>
        <w:spacing w:after="0" w:line="240" w:lineRule="auto"/>
        <w:ind w:left="360"/>
        <w:jc w:val="both"/>
        <w:rPr>
          <w:rFonts w:eastAsia="Times New Roman"/>
          <w:lang w:val="en-PH"/>
        </w:rPr>
      </w:pPr>
    </w:p>
    <w:p w14:paraId="5DDF41C7" w14:textId="740B3DB6" w:rsidR="004B7F4F" w:rsidRPr="004B7F4F" w:rsidRDefault="004B7F4F" w:rsidP="003A119B">
      <w:pPr>
        <w:spacing w:after="0" w:line="240" w:lineRule="auto"/>
        <w:ind w:left="360"/>
        <w:jc w:val="both"/>
        <w:rPr>
          <w:rFonts w:eastAsia="Times New Roman"/>
          <w:lang w:val="en-SG"/>
        </w:rPr>
      </w:pPr>
      <w:r w:rsidRPr="004B7F4F">
        <w:rPr>
          <w:rFonts w:eastAsia="Times New Roman"/>
        </w:rPr>
        <w:t xml:space="preserve">The regulatory landscape governing virtual assets in the Cayman Islands is governed by several key legislative instruments. The </w:t>
      </w:r>
      <w:hyperlink r:id="rId8" w:history="1">
        <w:r w:rsidRPr="004B7F4F">
          <w:rPr>
            <w:rStyle w:val="Hyperlink"/>
            <w:rFonts w:eastAsia="Times New Roman"/>
            <w:color w:val="FF6E00"/>
            <w:u w:val="none"/>
          </w:rPr>
          <w:t>Virtual Assets (Service Providers) Law, 2020</w:t>
        </w:r>
      </w:hyperlink>
      <w:r w:rsidRPr="004B7F4F">
        <w:rPr>
          <w:rFonts w:eastAsia="Times New Roman"/>
        </w:rPr>
        <w:t xml:space="preserve"> which was enacted on May 25, 2020, serves as a foundational framework. Subsequent regulations, including the </w:t>
      </w:r>
      <w:hyperlink r:id="rId9" w:history="1">
        <w:r w:rsidRPr="004B7F4F">
          <w:rPr>
            <w:rStyle w:val="Hyperlink"/>
            <w:rFonts w:eastAsia="Times New Roman"/>
            <w:color w:val="FF6E00"/>
            <w:u w:val="none"/>
          </w:rPr>
          <w:t>Virtual Assets (Service Providers) Regulations, 2020</w:t>
        </w:r>
      </w:hyperlink>
      <w:r w:rsidRPr="004B7F4F">
        <w:rPr>
          <w:rFonts w:eastAsia="Times New Roman"/>
        </w:rPr>
        <w:t xml:space="preserve"> enacted on October 28, 2020, and the </w:t>
      </w:r>
      <w:hyperlink r:id="rId10" w:history="1">
        <w:r w:rsidRPr="004B7F4F">
          <w:rPr>
            <w:rStyle w:val="Hyperlink"/>
            <w:rFonts w:eastAsia="Times New Roman"/>
            <w:color w:val="FF6E00"/>
            <w:u w:val="none"/>
          </w:rPr>
          <w:t>Virtual Asset (Service Providers) (Savings and Transitional) Regulations, 2021</w:t>
        </w:r>
      </w:hyperlink>
      <w:r w:rsidRPr="004B7F4F">
        <w:rPr>
          <w:rFonts w:eastAsia="Times New Roman"/>
        </w:rPr>
        <w:t xml:space="preserve">, introduced on January 11, 2021, provide additional specifications and transitional provisions. The enactment of the </w:t>
      </w:r>
      <w:hyperlink r:id="rId11" w:history="1">
        <w:r w:rsidRPr="004B7F4F">
          <w:rPr>
            <w:rStyle w:val="Hyperlink"/>
            <w:rFonts w:eastAsia="Times New Roman"/>
            <w:color w:val="FF6E00"/>
            <w:u w:val="none"/>
          </w:rPr>
          <w:t>Virtual Asset (Service Providers) Act (2022 revision)</w:t>
        </w:r>
      </w:hyperlink>
      <w:r w:rsidRPr="004B7F4F">
        <w:rPr>
          <w:rFonts w:eastAsia="Times New Roman"/>
        </w:rPr>
        <w:t xml:space="preserve"> published on December 31, 2021, further refines the regulatory landscape. Notably, the </w:t>
      </w:r>
      <w:hyperlink r:id="rId12" w:history="1">
        <w:r w:rsidRPr="004B7F4F">
          <w:rPr>
            <w:rStyle w:val="Hyperlink"/>
            <w:rFonts w:eastAsia="Times New Roman"/>
            <w:color w:val="FF6E00"/>
            <w:u w:val="none"/>
          </w:rPr>
          <w:t>Virtual Asset (Service Providers) (Amendment) Act, 2023</w:t>
        </w:r>
      </w:hyperlink>
      <w:r w:rsidRPr="004B7F4F">
        <w:rPr>
          <w:rFonts w:eastAsia="Times New Roman"/>
        </w:rPr>
        <w:t xml:space="preserve">, implemented on May 16, 2023, represents a recent update, reflecting the evolving nature of the virtual asset industry by the inclusion of various corporate structures and the clarification of responsibilities in case of default indicate a minute approach to addressing the complexities within the industry. The amendment also involves modifications to the definition of VASPs and outlines offenses related to incorporation, emphasising the need for accountability and compliance within the sector. This amendment, along with previous acts, regulations, and subsequent changes, will be collectively referred to as the </w:t>
      </w:r>
      <w:r w:rsidRPr="004B7F4F">
        <w:rPr>
          <w:rFonts w:eastAsia="Times New Roman"/>
          <w:b/>
        </w:rPr>
        <w:t xml:space="preserve">VASP Act </w:t>
      </w:r>
      <w:r w:rsidRPr="004B7F4F">
        <w:rPr>
          <w:rFonts w:eastAsia="Times New Roman"/>
        </w:rPr>
        <w:t>here. Complementing these acts are related legislative measures such as the Securities Investment Business (Amendment) Law, 2020 (</w:t>
      </w:r>
      <w:hyperlink r:id="rId13" w:history="1">
        <w:r w:rsidRPr="004B7F4F">
          <w:rPr>
            <w:rStyle w:val="Hyperlink"/>
            <w:rFonts w:eastAsia="Times New Roman"/>
            <w:b/>
            <w:color w:val="FF6E00"/>
            <w:u w:val="none"/>
          </w:rPr>
          <w:t>SIBA</w:t>
        </w:r>
      </w:hyperlink>
      <w:r w:rsidRPr="004B7F4F">
        <w:rPr>
          <w:rFonts w:eastAsia="Times New Roman"/>
        </w:rPr>
        <w:t>), Anti-Money Laundering Regulations (2023 Revision) on January 12, 2023 (</w:t>
      </w:r>
      <w:hyperlink r:id="rId14" w:history="1">
        <w:r w:rsidRPr="004B7F4F">
          <w:rPr>
            <w:rStyle w:val="Hyperlink"/>
            <w:rFonts w:eastAsia="Times New Roman"/>
            <w:b/>
            <w:color w:val="FF6E00"/>
            <w:u w:val="none"/>
          </w:rPr>
          <w:t>AMLR</w:t>
        </w:r>
      </w:hyperlink>
      <w:r w:rsidRPr="004B7F4F">
        <w:rPr>
          <w:rFonts w:eastAsia="Times New Roman"/>
        </w:rPr>
        <w:t>), and the Proceeds of Crime Law (2020 Revision) (</w:t>
      </w:r>
      <w:hyperlink r:id="rId15" w:history="1">
        <w:r w:rsidRPr="004B7F4F">
          <w:rPr>
            <w:rStyle w:val="Hyperlink"/>
            <w:rFonts w:eastAsia="Times New Roman"/>
            <w:b/>
            <w:color w:val="FF6E00"/>
            <w:u w:val="none"/>
          </w:rPr>
          <w:t>POCA</w:t>
        </w:r>
      </w:hyperlink>
      <w:r w:rsidRPr="004B7F4F">
        <w:rPr>
          <w:rFonts w:eastAsia="Times New Roman"/>
        </w:rPr>
        <w:t xml:space="preserve">). The regulatory framework is further supported by the </w:t>
      </w:r>
      <w:hyperlink r:id="rId16" w:history="1">
        <w:r w:rsidRPr="004B7F4F">
          <w:rPr>
            <w:rStyle w:val="Hyperlink"/>
            <w:rFonts w:eastAsia="Times New Roman"/>
            <w:color w:val="FF6E00"/>
            <w:u w:val="none"/>
          </w:rPr>
          <w:t>Mutual Funds Act (2021 Revision)</w:t>
        </w:r>
      </w:hyperlink>
      <w:r w:rsidRPr="004B7F4F">
        <w:rPr>
          <w:rFonts w:eastAsia="Times New Roman"/>
        </w:rPr>
        <w:t>, Private Funds (Annual Returns) Regulations, 2021 (</w:t>
      </w:r>
      <w:hyperlink r:id="rId17" w:history="1">
        <w:r w:rsidRPr="004B7F4F">
          <w:rPr>
            <w:rStyle w:val="Hyperlink"/>
            <w:rFonts w:eastAsia="Times New Roman"/>
            <w:b/>
            <w:color w:val="FF6E00"/>
            <w:u w:val="none"/>
          </w:rPr>
          <w:t>PFA</w:t>
        </w:r>
      </w:hyperlink>
      <w:r w:rsidRPr="004B7F4F">
        <w:rPr>
          <w:rFonts w:eastAsia="Times New Roman"/>
        </w:rPr>
        <w:t xml:space="preserve">), and the </w:t>
      </w:r>
      <w:hyperlink r:id="rId18" w:history="1">
        <w:r w:rsidRPr="004B7F4F">
          <w:rPr>
            <w:rStyle w:val="Hyperlink"/>
            <w:rFonts w:eastAsia="Times New Roman"/>
            <w:color w:val="FF6E00"/>
            <w:u w:val="none"/>
          </w:rPr>
          <w:t>Monetary Authority (Administrative Fines) Regulations (2022 Revision) (Fines Regulations 2023)</w:t>
        </w:r>
      </w:hyperlink>
      <w:r w:rsidRPr="004B7F4F">
        <w:rPr>
          <w:rFonts w:eastAsia="Times New Roman"/>
        </w:rPr>
        <w:t>. Additionally, the International Tax Co-operation (Economic Substance) Act (</w:t>
      </w:r>
      <w:hyperlink r:id="rId19" w:history="1">
        <w:r w:rsidRPr="004B7F4F">
          <w:rPr>
            <w:rStyle w:val="Hyperlink"/>
            <w:rFonts w:eastAsia="Times New Roman"/>
            <w:b/>
            <w:color w:val="FF6E00"/>
            <w:u w:val="none"/>
          </w:rPr>
          <w:t>ITCESA</w:t>
        </w:r>
      </w:hyperlink>
      <w:r w:rsidRPr="004B7F4F">
        <w:rPr>
          <w:rFonts w:eastAsia="Times New Roman"/>
        </w:rPr>
        <w:t>) complements these regulations, underscoring the comprehensive approach adopted by the Cayman Islands in regulating virtual assets, ensuring compliance, and fostering a robust and transparent financial environment.</w:t>
      </w:r>
    </w:p>
    <w:p w14:paraId="18C0E5FF" w14:textId="77777777" w:rsidR="00E93EDE" w:rsidRPr="003A119B" w:rsidRDefault="00E93EDE" w:rsidP="003A119B">
      <w:pPr>
        <w:spacing w:after="0" w:line="240" w:lineRule="auto"/>
        <w:ind w:left="360"/>
        <w:jc w:val="both"/>
        <w:rPr>
          <w:rFonts w:eastAsia="Times New Roman"/>
          <w:b/>
          <w:bCs/>
          <w:u w:val="single"/>
          <w:lang w:val="en-PH"/>
        </w:rPr>
      </w:pPr>
    </w:p>
    <w:p w14:paraId="2D37119D" w14:textId="6FF5C675" w:rsidR="004A3C2B" w:rsidRPr="003A119B" w:rsidRDefault="004A3C2B" w:rsidP="003A119B">
      <w:pPr>
        <w:spacing w:after="0" w:line="240" w:lineRule="auto"/>
        <w:ind w:left="360"/>
        <w:jc w:val="both"/>
        <w:rPr>
          <w:rFonts w:eastAsia="Times New Roman"/>
          <w:lang w:val="en-PH"/>
        </w:rPr>
      </w:pPr>
      <w:r w:rsidRPr="003A119B">
        <w:rPr>
          <w:rFonts w:eastAsia="Times New Roman"/>
          <w:b/>
          <w:bCs/>
          <w:u w:val="single"/>
          <w:lang w:val="en-PH"/>
        </w:rPr>
        <w:t>What is considered a virtual asset in</w:t>
      </w:r>
      <w:r w:rsidR="00C12448" w:rsidRPr="003A119B">
        <w:rPr>
          <w:rFonts w:eastAsia="Times New Roman"/>
          <w:b/>
          <w:bCs/>
          <w:u w:val="single"/>
          <w:lang w:val="en-PH"/>
        </w:rPr>
        <w:t xml:space="preserve"> the</w:t>
      </w:r>
      <w:r w:rsidRPr="003A119B">
        <w:rPr>
          <w:rFonts w:eastAsia="Times New Roman"/>
          <w:b/>
          <w:bCs/>
          <w:u w:val="single"/>
          <w:lang w:val="en-PH"/>
        </w:rPr>
        <w:t xml:space="preserve"> </w:t>
      </w:r>
      <w:r w:rsidR="00A421DB" w:rsidRPr="003A119B">
        <w:rPr>
          <w:rFonts w:eastAsia="Times New Roman"/>
          <w:b/>
          <w:bCs/>
          <w:u w:val="single"/>
          <w:lang w:val="en-GB"/>
        </w:rPr>
        <w:t>Cayman Islands</w:t>
      </w:r>
      <w:r w:rsidRPr="003A119B">
        <w:rPr>
          <w:rFonts w:eastAsia="Times New Roman"/>
          <w:b/>
          <w:bCs/>
          <w:u w:val="single"/>
          <w:lang w:val="en-PH"/>
        </w:rPr>
        <w:t>?</w:t>
      </w:r>
    </w:p>
    <w:p w14:paraId="430CA874" w14:textId="77777777" w:rsidR="00E93EDE" w:rsidRPr="003A119B" w:rsidRDefault="00E93EDE" w:rsidP="003A119B">
      <w:pPr>
        <w:spacing w:after="0" w:line="240" w:lineRule="auto"/>
        <w:ind w:left="360"/>
        <w:jc w:val="both"/>
        <w:rPr>
          <w:rFonts w:eastAsia="Times New Roman"/>
        </w:rPr>
      </w:pPr>
    </w:p>
    <w:p w14:paraId="14E80527" w14:textId="77777777" w:rsidR="00854B03" w:rsidRPr="00854B03" w:rsidRDefault="00854B03" w:rsidP="003A119B">
      <w:pPr>
        <w:spacing w:after="0" w:line="240" w:lineRule="auto"/>
        <w:ind w:left="360"/>
        <w:jc w:val="both"/>
        <w:rPr>
          <w:rFonts w:eastAsia="Times New Roman"/>
          <w:lang w:val="en-SG"/>
        </w:rPr>
      </w:pPr>
      <w:r w:rsidRPr="00854B03">
        <w:rPr>
          <w:rFonts w:eastAsia="Times New Roman"/>
          <w:lang w:val="en-SG"/>
        </w:rPr>
        <w:t xml:space="preserve">The VASP Acts defines </w:t>
      </w:r>
      <w:r w:rsidRPr="00854B03">
        <w:rPr>
          <w:rFonts w:eastAsia="Times New Roman"/>
        </w:rPr>
        <w:t xml:space="preserve">virtual assets as digital representations of value that can be digitally traded or transferred. These assets hold utility for both payment and investment purposes. It's important to note that within this definition, virtual assets exclude digital representations of fiat currencies, further under section 3(2) of VASP Act, explicitly excludes virtual service tokens as well. </w:t>
      </w:r>
      <w:r w:rsidRPr="00854B03">
        <w:rPr>
          <w:rFonts w:eastAsia="Times New Roman"/>
          <w:lang w:val="en-SG"/>
        </w:rPr>
        <w:t xml:space="preserve">Virtual services tokens are digital representation of value </w:t>
      </w:r>
      <w:r w:rsidRPr="00854B03">
        <w:rPr>
          <w:rFonts w:eastAsia="Times New Roman"/>
        </w:rPr>
        <w:t>which is non-transferable, non-exchangeable and non-refundable and their sole function is to provide access to an application or service or to provide a service or function directly to its owner such as credit card awards, or similar loyalty program rewards or points, which an individual cannot sell onward in a secondary market.</w:t>
      </w:r>
    </w:p>
    <w:p w14:paraId="241A6BDB" w14:textId="77777777" w:rsidR="00854B03" w:rsidRPr="00854B03" w:rsidRDefault="00854B03" w:rsidP="003A119B">
      <w:pPr>
        <w:spacing w:after="0" w:line="240" w:lineRule="auto"/>
        <w:ind w:left="360"/>
        <w:jc w:val="both"/>
        <w:rPr>
          <w:rFonts w:eastAsia="Times New Roman"/>
          <w:lang w:val="en-SG"/>
        </w:rPr>
      </w:pPr>
    </w:p>
    <w:p w14:paraId="5227E911" w14:textId="60692876" w:rsidR="00E93EDE" w:rsidRPr="003A119B" w:rsidRDefault="00854B03" w:rsidP="003A119B">
      <w:pPr>
        <w:spacing w:after="0" w:line="240" w:lineRule="auto"/>
        <w:ind w:left="360"/>
        <w:jc w:val="both"/>
        <w:rPr>
          <w:rFonts w:eastAsia="Times New Roman"/>
          <w:lang w:val="en-SG"/>
        </w:rPr>
      </w:pPr>
      <w:r w:rsidRPr="00854B03">
        <w:rPr>
          <w:rFonts w:eastAsia="Times New Roman"/>
          <w:lang w:val="en-SG"/>
        </w:rPr>
        <w:t>The definition of virtual assets specifically excludes a digital representation of fiat currency like Central Bank Digital Currencies (</w:t>
      </w:r>
      <w:r w:rsidRPr="00854B03">
        <w:rPr>
          <w:rFonts w:eastAsia="Times New Roman"/>
          <w:b/>
          <w:lang w:val="en-SG"/>
        </w:rPr>
        <w:t>CBDCs</w:t>
      </w:r>
      <w:r w:rsidRPr="00854B03">
        <w:rPr>
          <w:rFonts w:eastAsia="Times New Roman"/>
          <w:lang w:val="en-SG"/>
        </w:rPr>
        <w:t>) but stablecoins are pegged to the value of dollar or some other asset and are not sanctioned by state machinery, it would likely fall within the definition of virtual asset under the VASP Act. The definition of virtual assets is expansive and can be construed to cover stablecoins and security tokens. However the definition can be stretched to envelope utility tokens only to the extent where they are not covered under the definition of virtual services tokens. Non-Fungible Tokens (</w:t>
      </w:r>
      <w:r w:rsidRPr="00854B03">
        <w:rPr>
          <w:rFonts w:eastAsia="Times New Roman"/>
          <w:b/>
          <w:lang w:val="en-SG"/>
        </w:rPr>
        <w:t>NFTs</w:t>
      </w:r>
      <w:r w:rsidRPr="00854B03">
        <w:rPr>
          <w:rFonts w:eastAsia="Times New Roman"/>
          <w:lang w:val="en-SG"/>
        </w:rPr>
        <w:t>) are not subject to specific regulations under the VASP Act, however it might be covered under the definition of virtual assets on a case to case basis where characteristics of NFTs match with either virtual assets or securities. That said, NFTs that will satisfy and fall within the scope of virtual service tokens will not be considered as virtual assets.</w:t>
      </w:r>
    </w:p>
    <w:p w14:paraId="35558022" w14:textId="77777777" w:rsidR="004B7F4F" w:rsidRPr="003A119B" w:rsidRDefault="004B7F4F" w:rsidP="003A119B">
      <w:pPr>
        <w:spacing w:after="0" w:line="240" w:lineRule="auto"/>
        <w:jc w:val="both"/>
        <w:rPr>
          <w:rFonts w:eastAsia="Times New Roman"/>
        </w:rPr>
      </w:pPr>
    </w:p>
    <w:p w14:paraId="1CC12539" w14:textId="77777777" w:rsidR="004A3C2B" w:rsidRPr="003A119B" w:rsidRDefault="004A3C2B" w:rsidP="003A119B">
      <w:pPr>
        <w:spacing w:after="0" w:line="240" w:lineRule="auto"/>
        <w:ind w:left="360"/>
        <w:jc w:val="both"/>
        <w:rPr>
          <w:rFonts w:eastAsia="Times New Roman"/>
          <w:b/>
          <w:bCs/>
          <w:u w:val="single"/>
          <w:lang w:val="en-PH"/>
        </w:rPr>
      </w:pPr>
      <w:r w:rsidRPr="003A119B">
        <w:rPr>
          <w:rFonts w:eastAsia="Times New Roman"/>
          <w:b/>
          <w:bCs/>
          <w:u w:val="single"/>
          <w:lang w:val="en-PH"/>
        </w:rPr>
        <w:lastRenderedPageBreak/>
        <w:t>Who do such laws and regulations apply to?</w:t>
      </w:r>
    </w:p>
    <w:p w14:paraId="1E1CEFAB" w14:textId="77777777" w:rsidR="003812B1" w:rsidRPr="003A119B" w:rsidRDefault="003812B1" w:rsidP="003A119B">
      <w:pPr>
        <w:spacing w:after="0" w:line="240" w:lineRule="auto"/>
        <w:ind w:left="360"/>
        <w:jc w:val="both"/>
        <w:rPr>
          <w:rFonts w:eastAsia="Times New Roman"/>
          <w:lang w:val="en-PH"/>
        </w:rPr>
      </w:pPr>
    </w:p>
    <w:p w14:paraId="2B865DB0" w14:textId="77777777" w:rsidR="00D2675C" w:rsidRPr="00D2675C" w:rsidRDefault="00D2675C" w:rsidP="003A119B">
      <w:pPr>
        <w:spacing w:after="0" w:line="240" w:lineRule="auto"/>
        <w:ind w:left="360"/>
        <w:jc w:val="both"/>
        <w:rPr>
          <w:rFonts w:eastAsia="Times New Roman"/>
        </w:rPr>
      </w:pPr>
      <w:r w:rsidRPr="00D2675C">
        <w:rPr>
          <w:rFonts w:eastAsia="Times New Roman"/>
        </w:rPr>
        <w:t>The VASP Act in the Cayman Islands encompasses all entities that are either currently engaged in or have the intention to provide virtual asset services. These services, as defined under the VASP Act, covers a range of activities, including the issuance of virtual assets and the provision of various services related to virtual assets. These services comprise the exchange between virtual assets and fiat currencies, exchange between different forms of convertible and non convertible virtual assets, transfer of virtual assets, virtual asset custody services, and participation in or provision of financial services linked to virtual asset issuance or sale. The definition ensures that it covers a wide range of entities, including issuers of virtual assets, virtual asset custodians, virtual asset trading platforms, and those offering financial services related to the sale of virtual assets, such as virtual asset dealers and intermediaries to the extent they come under the scope of definition under virtual asset services. The VASP Act provides a framework for the conduct of virtual asset business in the Islands, the registration and licensing of persons providing virtual asset services and for incidental and connected purposes.</w:t>
      </w:r>
    </w:p>
    <w:p w14:paraId="5CC4E04F" w14:textId="77777777" w:rsidR="00D2675C" w:rsidRPr="00D2675C" w:rsidRDefault="00D2675C" w:rsidP="003A119B">
      <w:pPr>
        <w:spacing w:after="0" w:line="240" w:lineRule="auto"/>
        <w:ind w:left="360"/>
        <w:jc w:val="both"/>
        <w:rPr>
          <w:rFonts w:eastAsia="Times New Roman"/>
        </w:rPr>
      </w:pPr>
    </w:p>
    <w:p w14:paraId="07DE1975" w14:textId="77777777" w:rsidR="00D2675C" w:rsidRPr="00D2675C" w:rsidRDefault="00D2675C" w:rsidP="003A119B">
      <w:pPr>
        <w:spacing w:after="0" w:line="240" w:lineRule="auto"/>
        <w:ind w:left="360"/>
        <w:jc w:val="both"/>
        <w:rPr>
          <w:rFonts w:eastAsia="Times New Roman"/>
        </w:rPr>
      </w:pPr>
      <w:r w:rsidRPr="00D2675C">
        <w:rPr>
          <w:rFonts w:eastAsia="Times New Roman"/>
        </w:rPr>
        <w:t xml:space="preserve">In accordance with the VASP Act, the term “virtual asset service provider” includes the following types of entities: </w:t>
      </w:r>
    </w:p>
    <w:p w14:paraId="6E83606A" w14:textId="77777777" w:rsidR="00D2675C" w:rsidRPr="00D2675C" w:rsidRDefault="00D2675C" w:rsidP="003A119B">
      <w:pPr>
        <w:spacing w:after="0" w:line="240" w:lineRule="auto"/>
        <w:ind w:left="360"/>
        <w:jc w:val="both"/>
        <w:rPr>
          <w:rFonts w:eastAsia="Times New Roman"/>
        </w:rPr>
      </w:pPr>
    </w:p>
    <w:p w14:paraId="4116A437" w14:textId="77777777" w:rsidR="00D2675C" w:rsidRPr="00D2675C" w:rsidRDefault="00D2675C" w:rsidP="00EA6E3D">
      <w:pPr>
        <w:numPr>
          <w:ilvl w:val="0"/>
          <w:numId w:val="118"/>
        </w:numPr>
        <w:spacing w:after="0" w:line="240" w:lineRule="auto"/>
        <w:ind w:left="1080"/>
        <w:jc w:val="both"/>
        <w:rPr>
          <w:rFonts w:eastAsia="Times New Roman"/>
        </w:rPr>
      </w:pPr>
      <w:r w:rsidRPr="00D2675C">
        <w:rPr>
          <w:rFonts w:eastAsia="Times New Roman"/>
        </w:rPr>
        <w:t xml:space="preserve">virtual asset trading platforms; </w:t>
      </w:r>
    </w:p>
    <w:p w14:paraId="1CA6A66D" w14:textId="77777777" w:rsidR="00D2675C" w:rsidRPr="00D2675C" w:rsidRDefault="00D2675C" w:rsidP="00EA6E3D">
      <w:pPr>
        <w:spacing w:after="0" w:line="240" w:lineRule="auto"/>
        <w:jc w:val="both"/>
        <w:rPr>
          <w:rFonts w:eastAsia="Times New Roman"/>
        </w:rPr>
      </w:pPr>
    </w:p>
    <w:p w14:paraId="404B7246" w14:textId="77777777" w:rsidR="00D2675C" w:rsidRPr="00D2675C" w:rsidRDefault="00D2675C" w:rsidP="00EA6E3D">
      <w:pPr>
        <w:numPr>
          <w:ilvl w:val="0"/>
          <w:numId w:val="118"/>
        </w:numPr>
        <w:spacing w:after="0" w:line="240" w:lineRule="auto"/>
        <w:ind w:left="1080"/>
        <w:jc w:val="both"/>
        <w:rPr>
          <w:rFonts w:eastAsia="Times New Roman"/>
        </w:rPr>
      </w:pPr>
      <w:r w:rsidRPr="00D2675C">
        <w:rPr>
          <w:rFonts w:eastAsia="Times New Roman"/>
        </w:rPr>
        <w:t xml:space="preserve">virtual assets custodians such as wallet service providers; </w:t>
      </w:r>
    </w:p>
    <w:p w14:paraId="296BB6A1" w14:textId="77777777" w:rsidR="00D2675C" w:rsidRPr="00D2675C" w:rsidRDefault="00D2675C" w:rsidP="00EA6E3D">
      <w:pPr>
        <w:spacing w:after="0" w:line="240" w:lineRule="auto"/>
        <w:jc w:val="both"/>
        <w:rPr>
          <w:rFonts w:eastAsia="Times New Roman"/>
        </w:rPr>
      </w:pPr>
    </w:p>
    <w:p w14:paraId="244A181B" w14:textId="77777777" w:rsidR="00D2675C" w:rsidRPr="00D2675C" w:rsidRDefault="00D2675C" w:rsidP="00EA6E3D">
      <w:pPr>
        <w:numPr>
          <w:ilvl w:val="0"/>
          <w:numId w:val="118"/>
        </w:numPr>
        <w:spacing w:after="0" w:line="240" w:lineRule="auto"/>
        <w:ind w:left="1080"/>
        <w:jc w:val="both"/>
        <w:rPr>
          <w:rFonts w:eastAsia="Times New Roman"/>
        </w:rPr>
      </w:pPr>
      <w:r w:rsidRPr="00D2675C">
        <w:rPr>
          <w:rFonts w:eastAsia="Times New Roman"/>
        </w:rPr>
        <w:t xml:space="preserve">virtual asset issuers, whether registered or licensed; and </w:t>
      </w:r>
    </w:p>
    <w:p w14:paraId="498B8093" w14:textId="77777777" w:rsidR="00D2675C" w:rsidRPr="00D2675C" w:rsidRDefault="00D2675C" w:rsidP="00EA6E3D">
      <w:pPr>
        <w:spacing w:after="0" w:line="240" w:lineRule="auto"/>
        <w:jc w:val="both"/>
        <w:rPr>
          <w:rFonts w:eastAsia="Times New Roman"/>
        </w:rPr>
      </w:pPr>
    </w:p>
    <w:p w14:paraId="07D06D29" w14:textId="77777777" w:rsidR="00D2675C" w:rsidRPr="00D2675C" w:rsidRDefault="00D2675C" w:rsidP="00EA6E3D">
      <w:pPr>
        <w:numPr>
          <w:ilvl w:val="0"/>
          <w:numId w:val="118"/>
        </w:numPr>
        <w:spacing w:after="0" w:line="240" w:lineRule="auto"/>
        <w:ind w:left="1080"/>
        <w:jc w:val="both"/>
        <w:rPr>
          <w:rFonts w:eastAsia="Times New Roman"/>
        </w:rPr>
      </w:pPr>
      <w:r w:rsidRPr="00D2675C">
        <w:rPr>
          <w:rFonts w:eastAsia="Times New Roman"/>
        </w:rPr>
        <w:t>professionals that participate in or provide financial services related to virtual asset issuance or the sale of a virtual asset;</w:t>
      </w:r>
    </w:p>
    <w:p w14:paraId="61F864A1" w14:textId="77777777" w:rsidR="00D2675C" w:rsidRPr="00D2675C" w:rsidRDefault="00D2675C" w:rsidP="00EA6E3D">
      <w:pPr>
        <w:spacing w:after="0" w:line="240" w:lineRule="auto"/>
        <w:jc w:val="both"/>
        <w:rPr>
          <w:rFonts w:eastAsia="Times New Roman"/>
        </w:rPr>
      </w:pPr>
    </w:p>
    <w:p w14:paraId="1139712C" w14:textId="77777777" w:rsidR="00D2675C" w:rsidRPr="00D2675C" w:rsidRDefault="00D2675C" w:rsidP="00EA6E3D">
      <w:pPr>
        <w:numPr>
          <w:ilvl w:val="0"/>
          <w:numId w:val="118"/>
        </w:numPr>
        <w:spacing w:after="0" w:line="240" w:lineRule="auto"/>
        <w:ind w:left="1080"/>
        <w:jc w:val="both"/>
        <w:rPr>
          <w:rFonts w:eastAsia="Times New Roman"/>
        </w:rPr>
      </w:pPr>
      <w:r w:rsidRPr="00D2675C">
        <w:rPr>
          <w:rFonts w:eastAsia="Times New Roman"/>
        </w:rPr>
        <w:t>existing licensees conducting virtual asset services (including virtual asset custodial services, virtual asset trading platform services and virtual asset issuance); and</w:t>
      </w:r>
    </w:p>
    <w:p w14:paraId="63B7620D" w14:textId="77777777" w:rsidR="00D2675C" w:rsidRPr="00D2675C" w:rsidRDefault="00D2675C" w:rsidP="00EA6E3D">
      <w:pPr>
        <w:spacing w:after="0" w:line="240" w:lineRule="auto"/>
        <w:jc w:val="both"/>
        <w:rPr>
          <w:rFonts w:eastAsia="Times New Roman"/>
        </w:rPr>
      </w:pPr>
    </w:p>
    <w:p w14:paraId="0D3967FD" w14:textId="77777777" w:rsidR="00D2675C" w:rsidRPr="00D2675C" w:rsidRDefault="00D2675C" w:rsidP="00EA6E3D">
      <w:pPr>
        <w:numPr>
          <w:ilvl w:val="0"/>
          <w:numId w:val="118"/>
        </w:numPr>
        <w:spacing w:after="0" w:line="240" w:lineRule="auto"/>
        <w:ind w:left="1080"/>
        <w:jc w:val="both"/>
        <w:rPr>
          <w:rFonts w:eastAsia="Times New Roman"/>
        </w:rPr>
      </w:pPr>
      <w:r w:rsidRPr="00D2675C">
        <w:rPr>
          <w:rFonts w:eastAsia="Times New Roman"/>
        </w:rPr>
        <w:t>any person facilitating (a) the exchange or transfer of virtual assets to/from another virtual asset or fiat currency, (b) the transfer of virtual assets, or (c) the exchange between one or more other forms of convertible virtual assets on behalf of another person or entity.</w:t>
      </w:r>
    </w:p>
    <w:p w14:paraId="6E571186" w14:textId="77777777" w:rsidR="00D2675C" w:rsidRPr="00D2675C" w:rsidRDefault="00D2675C" w:rsidP="003A119B">
      <w:pPr>
        <w:spacing w:after="0" w:line="240" w:lineRule="auto"/>
        <w:ind w:left="360"/>
        <w:jc w:val="both"/>
        <w:rPr>
          <w:rFonts w:eastAsia="Times New Roman"/>
        </w:rPr>
      </w:pPr>
    </w:p>
    <w:p w14:paraId="1D483FDD" w14:textId="77777777" w:rsidR="00D2675C" w:rsidRPr="00D2675C" w:rsidRDefault="00D2675C" w:rsidP="003A119B">
      <w:pPr>
        <w:spacing w:after="0" w:line="240" w:lineRule="auto"/>
        <w:ind w:left="360"/>
        <w:jc w:val="both"/>
        <w:rPr>
          <w:rFonts w:eastAsia="Times New Roman"/>
          <w:lang w:val="en-SG"/>
        </w:rPr>
      </w:pPr>
      <w:r w:rsidRPr="00D2675C">
        <w:rPr>
          <w:rFonts w:eastAsia="Times New Roman"/>
        </w:rPr>
        <w:t>When assessing whether a particular activity qualifies as a virtual asset service in the Cayman Islands, it is crucial to analyse the nature of the service and its practical function. For instance, engaging in activities related to non-fungible tokens or virtual service tokens, even if not explicitly named as such, may still be categorised  as virtual asset services if these tokens are intended for payment or investment purposes in practice. The determination of whether an activity falls under the definition of a virtual asset service should be made on a case-by-case basis, emphasising the practical implications and functions of the services provided, rather than relying solely on specific terminology.</w:t>
      </w:r>
    </w:p>
    <w:p w14:paraId="78CAFBE3" w14:textId="77777777" w:rsidR="00EB3F7B" w:rsidRPr="003A119B" w:rsidRDefault="00EB3F7B" w:rsidP="003A119B">
      <w:pPr>
        <w:spacing w:after="0" w:line="240" w:lineRule="auto"/>
        <w:jc w:val="both"/>
        <w:rPr>
          <w:rFonts w:eastAsia="Times New Roman"/>
        </w:rPr>
      </w:pPr>
    </w:p>
    <w:p w14:paraId="2F208392" w14:textId="69761687" w:rsidR="004A3C2B" w:rsidRPr="003A119B" w:rsidRDefault="004A3C2B" w:rsidP="003A119B">
      <w:pPr>
        <w:spacing w:after="0" w:line="240" w:lineRule="auto"/>
        <w:ind w:left="360"/>
        <w:jc w:val="both"/>
        <w:rPr>
          <w:rFonts w:eastAsia="Times New Roman"/>
          <w:b/>
          <w:bCs/>
          <w:u w:val="single"/>
          <w:lang w:val="en-PH"/>
        </w:rPr>
      </w:pPr>
      <w:r w:rsidRPr="003A119B">
        <w:rPr>
          <w:rFonts w:eastAsia="Times New Roman"/>
          <w:b/>
          <w:bCs/>
          <w:u w:val="single"/>
          <w:lang w:val="en-PH"/>
        </w:rPr>
        <w:t>Who are the relevant regulatory authorities in relation to virtual assets in</w:t>
      </w:r>
      <w:r w:rsidR="00C12448"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6A399EA1" w14:textId="228D8F12" w:rsidR="00EB3F7B" w:rsidRPr="003A119B" w:rsidRDefault="00EB3F7B" w:rsidP="003A119B">
      <w:pPr>
        <w:spacing w:after="0" w:line="240" w:lineRule="auto"/>
        <w:ind w:left="360"/>
        <w:jc w:val="both"/>
        <w:rPr>
          <w:rFonts w:eastAsia="Times New Roman"/>
          <w:lang w:val="en-PH"/>
        </w:rPr>
      </w:pPr>
    </w:p>
    <w:p w14:paraId="6DD2675D" w14:textId="55A1C106" w:rsidR="00EB3F7B" w:rsidRPr="003A119B" w:rsidRDefault="00096D6A" w:rsidP="003A119B">
      <w:pPr>
        <w:spacing w:after="0" w:line="240" w:lineRule="auto"/>
        <w:ind w:left="360"/>
        <w:jc w:val="both"/>
        <w:rPr>
          <w:rFonts w:eastAsia="Times New Roman"/>
        </w:rPr>
      </w:pPr>
      <w:r w:rsidRPr="00096D6A">
        <w:rPr>
          <w:rFonts w:eastAsia="Times New Roman"/>
        </w:rPr>
        <w:t>In the Cayman Islands, the Cayman Islands Monetary Authority (</w:t>
      </w:r>
      <w:hyperlink r:id="rId20" w:history="1">
        <w:r w:rsidRPr="00096D6A">
          <w:rPr>
            <w:rStyle w:val="Hyperlink"/>
            <w:rFonts w:eastAsia="Times New Roman"/>
            <w:b/>
            <w:color w:val="FF6E00"/>
            <w:u w:val="none"/>
          </w:rPr>
          <w:t>CIMA</w:t>
        </w:r>
      </w:hyperlink>
      <w:r w:rsidRPr="00096D6A">
        <w:rPr>
          <w:rFonts w:eastAsia="Times New Roman"/>
        </w:rPr>
        <w:t xml:space="preserve">) plays a crucial role in regulating and supervising the financial services industry, monitoring compliance with anti-money laundering regulations, and providing regulatory guidance through policies, procedures, rules, statements of principle and guidance. Additionally, the regulatory landscape for the FinTech industry is governed by </w:t>
      </w:r>
      <w:r w:rsidRPr="00096D6A">
        <w:rPr>
          <w:rFonts w:eastAsia="Times New Roman"/>
        </w:rPr>
        <w:lastRenderedPageBreak/>
        <w:t>designated authorities with specific responsibilities. The Financial Intelligence Unit (</w:t>
      </w:r>
      <w:hyperlink r:id="rId21" w:history="1">
        <w:r w:rsidRPr="00096D6A">
          <w:rPr>
            <w:rStyle w:val="Hyperlink"/>
            <w:rFonts w:eastAsia="Times New Roman"/>
            <w:b/>
            <w:color w:val="FF6E00"/>
            <w:u w:val="none"/>
          </w:rPr>
          <w:t>FIU</w:t>
        </w:r>
      </w:hyperlink>
      <w:r w:rsidRPr="00096D6A">
        <w:rPr>
          <w:rFonts w:eastAsia="Times New Roman"/>
        </w:rPr>
        <w:t>), operating under the Cayman Islands' Financial Reporting Agency (</w:t>
      </w:r>
      <w:hyperlink r:id="rId22" w:history="1">
        <w:r w:rsidRPr="00096D6A">
          <w:rPr>
            <w:rStyle w:val="Hyperlink"/>
            <w:rFonts w:eastAsia="Times New Roman"/>
            <w:b/>
            <w:color w:val="FF6E00"/>
            <w:u w:val="none"/>
          </w:rPr>
          <w:t>FRA</w:t>
        </w:r>
      </w:hyperlink>
      <w:r w:rsidRPr="00096D6A">
        <w:rPr>
          <w:rFonts w:eastAsia="Times New Roman"/>
        </w:rPr>
        <w:t>), is tasked with deterring, preventing, and detecting money laundering, terrorist financing, and proliferation financing. Additionally, the FIU oversees sanctions compliance. Further, the VASP and FinTech sector may encounter additional regulatory oversight from various authorities. The Department for International Tax Cooperation (</w:t>
      </w:r>
      <w:hyperlink r:id="rId23" w:history="1">
        <w:r w:rsidRPr="00096D6A">
          <w:rPr>
            <w:rStyle w:val="Hyperlink"/>
            <w:rFonts w:eastAsia="Times New Roman"/>
            <w:b/>
            <w:color w:val="FF6E00"/>
            <w:u w:val="none"/>
          </w:rPr>
          <w:t>DITC</w:t>
        </w:r>
      </w:hyperlink>
      <w:r w:rsidRPr="00096D6A">
        <w:rPr>
          <w:rFonts w:eastAsia="Times New Roman"/>
        </w:rPr>
        <w:t>) supervises economic substance and automatic exchange of information. Beneficial ownership is monitored by the Cayman Islands Registrar, while data protection falls under the purview of the Cayman Islands Data Protection Ombudsman. These ancillary regulations complement the broader regulatory framework, ensuring a comprehensive approach to governing the VASP and FinTech industry in the jurisdiction.</w:t>
      </w:r>
    </w:p>
    <w:p w14:paraId="519491A3" w14:textId="77777777" w:rsidR="004B7F4F" w:rsidRPr="003A119B" w:rsidRDefault="004B7F4F" w:rsidP="003A119B">
      <w:pPr>
        <w:spacing w:after="0" w:line="240" w:lineRule="auto"/>
        <w:ind w:left="360"/>
        <w:jc w:val="both"/>
        <w:rPr>
          <w:rFonts w:eastAsia="Times New Roman"/>
          <w:lang w:val="en-PH"/>
        </w:rPr>
      </w:pPr>
    </w:p>
    <w:p w14:paraId="43BC6729" w14:textId="4D8BB484" w:rsidR="00EB3F7B" w:rsidRPr="003A119B" w:rsidRDefault="004A3C2B" w:rsidP="003A119B">
      <w:pPr>
        <w:spacing w:after="0" w:line="240" w:lineRule="auto"/>
        <w:ind w:left="360"/>
        <w:jc w:val="both"/>
        <w:rPr>
          <w:rFonts w:eastAsia="Times New Roman"/>
          <w:b/>
          <w:bCs/>
          <w:u w:val="single"/>
          <w:lang w:val="en-PH"/>
        </w:rPr>
      </w:pPr>
      <w:r w:rsidRPr="003A119B">
        <w:rPr>
          <w:rFonts w:eastAsia="Times New Roman"/>
          <w:b/>
          <w:bCs/>
          <w:u w:val="single"/>
          <w:lang w:val="en-PH"/>
        </w:rPr>
        <w:t>What are the penalties for breaches of virtual asset laws and regulations in</w:t>
      </w:r>
      <w:r w:rsidR="00EB395E"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2B3EF982" w14:textId="77777777" w:rsidR="00691887" w:rsidRPr="003A119B" w:rsidRDefault="00691887" w:rsidP="003A119B">
      <w:pPr>
        <w:spacing w:after="0" w:line="240" w:lineRule="auto"/>
        <w:ind w:left="360"/>
        <w:jc w:val="both"/>
        <w:rPr>
          <w:rFonts w:eastAsia="Times New Roman"/>
          <w:b/>
          <w:bCs/>
          <w:u w:val="single"/>
          <w:lang w:val="en-PH"/>
        </w:rPr>
      </w:pPr>
    </w:p>
    <w:p w14:paraId="6F27EDF4" w14:textId="7B75A128" w:rsidR="001C3ADF" w:rsidRPr="003A119B" w:rsidRDefault="00876B10" w:rsidP="003A119B">
      <w:pPr>
        <w:spacing w:after="0" w:line="240" w:lineRule="auto"/>
        <w:ind w:left="360"/>
        <w:jc w:val="both"/>
        <w:rPr>
          <w:rFonts w:eastAsia="Times New Roman"/>
        </w:rPr>
      </w:pPr>
      <w:r w:rsidRPr="00876B10">
        <w:rPr>
          <w:rFonts w:eastAsia="Times New Roman"/>
        </w:rPr>
        <w:t>In the Cayman Islands, under section 37 of the VASP Act, individuals contravening any provision of the VASP Act without a specified penalty commit an offence. Upon summary conviction, such individuals may face a fine of four thousand dollars. Offences in the jurisdiction are classified into three levels – very serious, serious, and moderate – based on the severity and nature of the violation. The penalties prescribed under the VASP Act are outlined in the table below:</w:t>
      </w:r>
    </w:p>
    <w:p w14:paraId="578199D7" w14:textId="77777777" w:rsidR="001C3ADF" w:rsidRPr="003A119B" w:rsidRDefault="001C3ADF" w:rsidP="003A119B">
      <w:pPr>
        <w:spacing w:after="0" w:line="240" w:lineRule="auto"/>
        <w:ind w:left="360"/>
        <w:jc w:val="both"/>
        <w:rPr>
          <w:rFonts w:eastAsia="Times New Roman"/>
        </w:rPr>
      </w:pPr>
    </w:p>
    <w:tbl>
      <w:tblPr>
        <w:tblStyle w:val="TableGrid"/>
        <w:tblW w:w="0" w:type="auto"/>
        <w:tblInd w:w="421" w:type="dxa"/>
        <w:tblLook w:val="04A0" w:firstRow="1" w:lastRow="0" w:firstColumn="1" w:lastColumn="0" w:noHBand="0" w:noVBand="1"/>
      </w:tblPr>
      <w:tblGrid>
        <w:gridCol w:w="3304"/>
        <w:gridCol w:w="1264"/>
        <w:gridCol w:w="4361"/>
      </w:tblGrid>
      <w:tr w:rsidR="001C3ADF" w:rsidRPr="003A119B" w14:paraId="5D154FC8" w14:textId="77777777" w:rsidTr="001C3ADF">
        <w:tc>
          <w:tcPr>
            <w:tcW w:w="3304" w:type="dxa"/>
            <w:shd w:val="clear" w:color="auto" w:fill="auto"/>
          </w:tcPr>
          <w:p w14:paraId="6EABC663" w14:textId="77777777" w:rsidR="001C3ADF" w:rsidRPr="003A119B" w:rsidRDefault="001C3ADF" w:rsidP="003A119B">
            <w:pPr>
              <w:spacing w:line="240" w:lineRule="auto"/>
              <w:jc w:val="center"/>
              <w:rPr>
                <w:rFonts w:cstheme="minorHAnsi"/>
                <w:b/>
                <w:lang w:val="en-SG"/>
              </w:rPr>
            </w:pPr>
            <w:r w:rsidRPr="003A119B">
              <w:rPr>
                <w:rFonts w:cstheme="minorHAnsi"/>
                <w:b/>
                <w:lang w:val="en-SG"/>
              </w:rPr>
              <w:t>Offence</w:t>
            </w:r>
          </w:p>
        </w:tc>
        <w:tc>
          <w:tcPr>
            <w:tcW w:w="1264" w:type="dxa"/>
            <w:shd w:val="clear" w:color="auto" w:fill="auto"/>
          </w:tcPr>
          <w:p w14:paraId="4EE6BD20" w14:textId="77777777" w:rsidR="001C3ADF" w:rsidRPr="003A119B" w:rsidRDefault="001C3ADF" w:rsidP="003A119B">
            <w:pPr>
              <w:spacing w:line="240" w:lineRule="auto"/>
              <w:rPr>
                <w:rFonts w:cstheme="minorHAnsi"/>
                <w:b/>
                <w:lang w:val="en-SG"/>
              </w:rPr>
            </w:pPr>
            <w:r w:rsidRPr="003A119B">
              <w:rPr>
                <w:rFonts w:cstheme="minorHAnsi"/>
                <w:b/>
                <w:lang w:val="en-SG"/>
              </w:rPr>
              <w:t>Sections</w:t>
            </w:r>
          </w:p>
        </w:tc>
        <w:tc>
          <w:tcPr>
            <w:tcW w:w="4361" w:type="dxa"/>
            <w:shd w:val="clear" w:color="auto" w:fill="auto"/>
          </w:tcPr>
          <w:p w14:paraId="04F24387" w14:textId="77777777" w:rsidR="001C3ADF" w:rsidRPr="003A119B" w:rsidRDefault="001C3ADF" w:rsidP="003A119B">
            <w:pPr>
              <w:spacing w:line="240" w:lineRule="auto"/>
              <w:jc w:val="center"/>
              <w:rPr>
                <w:rFonts w:cstheme="minorHAnsi"/>
                <w:b/>
                <w:lang w:val="en-SG"/>
              </w:rPr>
            </w:pPr>
            <w:r w:rsidRPr="003A119B">
              <w:rPr>
                <w:rFonts w:cstheme="minorHAnsi"/>
                <w:b/>
                <w:lang w:val="en-SG"/>
              </w:rPr>
              <w:t>Consequences</w:t>
            </w:r>
          </w:p>
        </w:tc>
      </w:tr>
      <w:tr w:rsidR="001C3ADF" w:rsidRPr="003A119B" w14:paraId="24DDD4D6" w14:textId="77777777" w:rsidTr="001C3ADF">
        <w:tc>
          <w:tcPr>
            <w:tcW w:w="3304" w:type="dxa"/>
            <w:shd w:val="clear" w:color="auto" w:fill="auto"/>
          </w:tcPr>
          <w:p w14:paraId="15A29F46" w14:textId="77777777" w:rsidR="001C3ADF" w:rsidRPr="003A119B" w:rsidRDefault="001C3ADF" w:rsidP="003A119B">
            <w:pPr>
              <w:spacing w:line="240" w:lineRule="auto"/>
              <w:rPr>
                <w:rFonts w:cstheme="minorHAnsi"/>
                <w:lang w:val="en-SG"/>
              </w:rPr>
            </w:pPr>
            <w:r w:rsidRPr="003A119B">
              <w:rPr>
                <w:rFonts w:cstheme="minorHAnsi"/>
                <w:lang w:val="en-SG"/>
              </w:rPr>
              <w:t>Contravention of applicable requirements on virtual asset custodian service provided under section 10 of VASP Act which includes net worth requirements, reporting requirements and client disclosure requirements etc.</w:t>
            </w:r>
          </w:p>
        </w:tc>
        <w:tc>
          <w:tcPr>
            <w:tcW w:w="1264" w:type="dxa"/>
            <w:shd w:val="clear" w:color="auto" w:fill="auto"/>
          </w:tcPr>
          <w:p w14:paraId="1AC4FE53" w14:textId="77777777" w:rsidR="001C3ADF" w:rsidRPr="003A119B" w:rsidRDefault="001C3ADF" w:rsidP="003A119B">
            <w:pPr>
              <w:spacing w:line="240" w:lineRule="auto"/>
              <w:rPr>
                <w:rFonts w:cstheme="minorHAnsi"/>
                <w:lang w:val="en-SG"/>
              </w:rPr>
            </w:pPr>
            <w:r w:rsidRPr="003A119B">
              <w:rPr>
                <w:rFonts w:cstheme="minorHAnsi"/>
                <w:lang w:val="en-SG"/>
              </w:rPr>
              <w:t>10(4)</w:t>
            </w:r>
          </w:p>
        </w:tc>
        <w:tc>
          <w:tcPr>
            <w:tcW w:w="4361" w:type="dxa"/>
            <w:shd w:val="clear" w:color="auto" w:fill="auto"/>
          </w:tcPr>
          <w:p w14:paraId="125D6AFB" w14:textId="77777777" w:rsidR="001C3ADF" w:rsidRPr="003A119B" w:rsidRDefault="001C3ADF" w:rsidP="003A119B">
            <w:pPr>
              <w:spacing w:line="240" w:lineRule="auto"/>
              <w:rPr>
                <w:rFonts w:cstheme="minorHAnsi"/>
                <w:lang w:val="en-SG"/>
              </w:rPr>
            </w:pPr>
            <w:r w:rsidRPr="003A119B">
              <w:rPr>
                <w:rFonts w:cstheme="minorHAnsi"/>
                <w:lang w:val="en-SG"/>
              </w:rPr>
              <w:t>Fine of US$100,000</w:t>
            </w:r>
          </w:p>
        </w:tc>
      </w:tr>
      <w:tr w:rsidR="001C3ADF" w:rsidRPr="003A119B" w14:paraId="3B0D6F1D" w14:textId="77777777" w:rsidTr="001C3ADF">
        <w:tc>
          <w:tcPr>
            <w:tcW w:w="3304" w:type="dxa"/>
            <w:shd w:val="clear" w:color="auto" w:fill="auto"/>
          </w:tcPr>
          <w:p w14:paraId="6D3ACB50" w14:textId="77777777" w:rsidR="001C3ADF" w:rsidRPr="003A119B" w:rsidRDefault="001C3ADF" w:rsidP="003A119B">
            <w:pPr>
              <w:spacing w:line="240" w:lineRule="auto"/>
              <w:rPr>
                <w:rFonts w:cstheme="minorHAnsi"/>
                <w:lang w:val="en-SG"/>
              </w:rPr>
            </w:pPr>
            <w:r w:rsidRPr="003A119B">
              <w:rPr>
                <w:rFonts w:cstheme="minorHAnsi"/>
                <w:lang w:val="en-SG"/>
              </w:rPr>
              <w:t>Carrying on virtual asset services without registration</w:t>
            </w:r>
          </w:p>
        </w:tc>
        <w:tc>
          <w:tcPr>
            <w:tcW w:w="1264" w:type="dxa"/>
            <w:shd w:val="clear" w:color="auto" w:fill="auto"/>
          </w:tcPr>
          <w:p w14:paraId="0396B766" w14:textId="77777777" w:rsidR="001C3ADF" w:rsidRPr="003A119B" w:rsidRDefault="001C3ADF" w:rsidP="003A119B">
            <w:pPr>
              <w:spacing w:line="240" w:lineRule="auto"/>
              <w:rPr>
                <w:rFonts w:cstheme="minorHAnsi"/>
                <w:lang w:val="en-SG"/>
              </w:rPr>
            </w:pPr>
            <w:r w:rsidRPr="003A119B">
              <w:rPr>
                <w:rFonts w:cstheme="minorHAnsi"/>
                <w:lang w:val="en-SG"/>
              </w:rPr>
              <w:t>35(1)</w:t>
            </w:r>
          </w:p>
        </w:tc>
        <w:tc>
          <w:tcPr>
            <w:tcW w:w="4361" w:type="dxa"/>
            <w:shd w:val="clear" w:color="auto" w:fill="auto"/>
          </w:tcPr>
          <w:p w14:paraId="480676EE" w14:textId="77777777" w:rsidR="001C3ADF" w:rsidRPr="003A119B" w:rsidRDefault="001C3ADF" w:rsidP="003A119B">
            <w:pPr>
              <w:spacing w:line="240" w:lineRule="auto"/>
              <w:rPr>
                <w:rFonts w:cstheme="minorHAnsi"/>
                <w:lang w:val="en-SG"/>
              </w:rPr>
            </w:pPr>
            <w:r w:rsidRPr="003A119B">
              <w:rPr>
                <w:rFonts w:cstheme="minorHAnsi"/>
                <w:lang w:val="en-SG"/>
              </w:rPr>
              <w:t>Fine of US$25,000 and imprisonment for one year</w:t>
            </w:r>
          </w:p>
        </w:tc>
      </w:tr>
      <w:tr w:rsidR="001C3ADF" w:rsidRPr="003A119B" w14:paraId="4E5E66A9" w14:textId="77777777" w:rsidTr="001C3ADF">
        <w:tc>
          <w:tcPr>
            <w:tcW w:w="3304" w:type="dxa"/>
            <w:shd w:val="clear" w:color="auto" w:fill="auto"/>
          </w:tcPr>
          <w:p w14:paraId="0D6C7F88" w14:textId="77777777" w:rsidR="001C3ADF" w:rsidRPr="003A119B" w:rsidRDefault="001C3ADF" w:rsidP="003A119B">
            <w:pPr>
              <w:spacing w:line="240" w:lineRule="auto"/>
              <w:rPr>
                <w:rFonts w:cstheme="minorHAnsi"/>
                <w:lang w:val="en-SG"/>
              </w:rPr>
            </w:pPr>
            <w:r w:rsidRPr="003A119B">
              <w:rPr>
                <w:rFonts w:cstheme="minorHAnsi"/>
                <w:lang w:val="en-SG"/>
              </w:rPr>
              <w:t>Carries on virtual asset custody services  in or from within the Cayman Islands without license</w:t>
            </w:r>
          </w:p>
        </w:tc>
        <w:tc>
          <w:tcPr>
            <w:tcW w:w="1264" w:type="dxa"/>
            <w:shd w:val="clear" w:color="auto" w:fill="auto"/>
          </w:tcPr>
          <w:p w14:paraId="16654FA3" w14:textId="77777777" w:rsidR="001C3ADF" w:rsidRPr="003A119B" w:rsidRDefault="001C3ADF" w:rsidP="003A119B">
            <w:pPr>
              <w:spacing w:line="240" w:lineRule="auto"/>
              <w:rPr>
                <w:rFonts w:cstheme="minorHAnsi"/>
                <w:lang w:val="en-SG"/>
              </w:rPr>
            </w:pPr>
            <w:r w:rsidRPr="003A119B">
              <w:rPr>
                <w:rFonts w:cstheme="minorHAnsi"/>
                <w:lang w:val="en-SG"/>
              </w:rPr>
              <w:t>35(3)(a)</w:t>
            </w:r>
          </w:p>
        </w:tc>
        <w:tc>
          <w:tcPr>
            <w:tcW w:w="4361" w:type="dxa"/>
            <w:shd w:val="clear" w:color="auto" w:fill="auto"/>
          </w:tcPr>
          <w:p w14:paraId="47ACE1C7" w14:textId="77777777" w:rsidR="001C3ADF" w:rsidRPr="003A119B" w:rsidRDefault="001C3ADF" w:rsidP="003A119B">
            <w:pPr>
              <w:spacing w:line="240" w:lineRule="auto"/>
              <w:rPr>
                <w:rFonts w:cstheme="minorHAnsi"/>
                <w:lang w:val="en-SG"/>
              </w:rPr>
            </w:pPr>
            <w:r w:rsidRPr="003A119B">
              <w:rPr>
                <w:rFonts w:cstheme="minorHAnsi"/>
                <w:lang w:val="en-SG"/>
              </w:rPr>
              <w:t xml:space="preserve">Fine of US$100,000 and imprisonment for one year </w:t>
            </w:r>
          </w:p>
        </w:tc>
      </w:tr>
      <w:tr w:rsidR="001C3ADF" w:rsidRPr="003A119B" w14:paraId="22390E5B" w14:textId="77777777" w:rsidTr="001C3ADF">
        <w:tc>
          <w:tcPr>
            <w:tcW w:w="3304" w:type="dxa"/>
            <w:shd w:val="clear" w:color="auto" w:fill="auto"/>
          </w:tcPr>
          <w:p w14:paraId="1695334B" w14:textId="77777777" w:rsidR="001C3ADF" w:rsidRPr="003A119B" w:rsidRDefault="001C3ADF" w:rsidP="003A119B">
            <w:pPr>
              <w:spacing w:line="240" w:lineRule="auto"/>
              <w:rPr>
                <w:rFonts w:cstheme="minorHAnsi"/>
                <w:lang w:val="en-SG"/>
              </w:rPr>
            </w:pPr>
            <w:r w:rsidRPr="003A119B">
              <w:rPr>
                <w:rFonts w:cstheme="minorHAnsi"/>
                <w:lang w:val="en-SG"/>
              </w:rPr>
              <w:t>Operate a virtual asset trading platform in or from within the Cayman Islands without license</w:t>
            </w:r>
          </w:p>
        </w:tc>
        <w:tc>
          <w:tcPr>
            <w:tcW w:w="1264" w:type="dxa"/>
            <w:shd w:val="clear" w:color="auto" w:fill="auto"/>
          </w:tcPr>
          <w:p w14:paraId="74DD8C2D" w14:textId="77777777" w:rsidR="001C3ADF" w:rsidRPr="003A119B" w:rsidRDefault="001C3ADF" w:rsidP="003A119B">
            <w:pPr>
              <w:spacing w:line="240" w:lineRule="auto"/>
              <w:rPr>
                <w:rFonts w:cstheme="minorHAnsi"/>
                <w:lang w:val="en-SG"/>
              </w:rPr>
            </w:pPr>
            <w:r w:rsidRPr="003A119B">
              <w:rPr>
                <w:rFonts w:cstheme="minorHAnsi"/>
                <w:lang w:val="en-SG"/>
              </w:rPr>
              <w:t>35(3)(b)</w:t>
            </w:r>
          </w:p>
        </w:tc>
        <w:tc>
          <w:tcPr>
            <w:tcW w:w="4361" w:type="dxa"/>
            <w:shd w:val="clear" w:color="auto" w:fill="auto"/>
          </w:tcPr>
          <w:p w14:paraId="72578292" w14:textId="77777777" w:rsidR="001C3ADF" w:rsidRPr="003A119B" w:rsidRDefault="001C3ADF" w:rsidP="003A119B">
            <w:pPr>
              <w:spacing w:line="240" w:lineRule="auto"/>
              <w:rPr>
                <w:rFonts w:cstheme="minorHAnsi"/>
                <w:lang w:val="en-SG"/>
              </w:rPr>
            </w:pPr>
            <w:r w:rsidRPr="003A119B">
              <w:rPr>
                <w:rFonts w:cstheme="minorHAnsi"/>
                <w:lang w:val="en-SG"/>
              </w:rPr>
              <w:t>Fine of US$100,000 and imprisonment for one year</w:t>
            </w:r>
          </w:p>
        </w:tc>
      </w:tr>
    </w:tbl>
    <w:p w14:paraId="6EDA9808" w14:textId="77777777" w:rsidR="00691887" w:rsidRPr="003A119B" w:rsidRDefault="00691887" w:rsidP="003A119B">
      <w:pPr>
        <w:spacing w:after="0" w:line="240" w:lineRule="auto"/>
        <w:ind w:left="360"/>
        <w:jc w:val="both"/>
        <w:rPr>
          <w:rFonts w:eastAsia="Times New Roman"/>
          <w:b/>
          <w:bCs/>
          <w:u w:val="single"/>
          <w:lang w:val="en-PH"/>
        </w:rPr>
      </w:pPr>
    </w:p>
    <w:p w14:paraId="34046537" w14:textId="208E6DC6" w:rsidR="00010FAB" w:rsidRPr="003A119B" w:rsidRDefault="00BF2610"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Regulation of virtual assets and offerings of virtual assets in</w:t>
      </w:r>
      <w:r w:rsidR="000801BB" w:rsidRPr="003A119B">
        <w:rPr>
          <w:rFonts w:eastAsia="Times New Roman"/>
          <w:b/>
          <w:bCs/>
          <w:lang w:val="en-PH"/>
        </w:rPr>
        <w:t xml:space="preserve"> the</w:t>
      </w:r>
      <w:r w:rsidRPr="003A119B">
        <w:rPr>
          <w:rFonts w:eastAsia="Times New Roman"/>
          <w:b/>
          <w:bCs/>
          <w:lang w:val="en-PH"/>
        </w:rPr>
        <w:t xml:space="preserve"> </w:t>
      </w:r>
      <w:r w:rsidR="00EB395E" w:rsidRPr="003A119B">
        <w:rPr>
          <w:rFonts w:eastAsia="Times New Roman"/>
          <w:b/>
          <w:bCs/>
          <w:lang w:val="en-GB"/>
        </w:rPr>
        <w:t>Cayman Islands</w:t>
      </w:r>
    </w:p>
    <w:p w14:paraId="0EBEDD38" w14:textId="77777777" w:rsidR="00EB3F7B" w:rsidRPr="003A119B" w:rsidRDefault="00EB3F7B" w:rsidP="003A119B">
      <w:pPr>
        <w:spacing w:after="0" w:line="240" w:lineRule="auto"/>
        <w:jc w:val="both"/>
        <w:rPr>
          <w:rFonts w:eastAsia="Times New Roman"/>
        </w:rPr>
      </w:pPr>
    </w:p>
    <w:p w14:paraId="0812BF39" w14:textId="1F08F17E" w:rsidR="00EB3F7B" w:rsidRPr="003A119B" w:rsidRDefault="00010FAB" w:rsidP="003A119B">
      <w:pPr>
        <w:spacing w:after="0" w:line="240" w:lineRule="auto"/>
        <w:ind w:left="360"/>
        <w:jc w:val="both"/>
        <w:rPr>
          <w:u w:val="single"/>
          <w:lang w:val="en-PH"/>
        </w:rPr>
      </w:pPr>
      <w:r w:rsidRPr="003A119B">
        <w:rPr>
          <w:b/>
          <w:bCs/>
          <w:u w:val="single"/>
          <w:lang w:val="en-PH"/>
        </w:rPr>
        <w:t>Are virtual assets classified as ‘</w:t>
      </w:r>
      <w:r w:rsidR="0050683B" w:rsidRPr="003A119B">
        <w:rPr>
          <w:b/>
          <w:bCs/>
          <w:u w:val="single"/>
          <w:lang w:val="en-PH"/>
        </w:rPr>
        <w:t>investments</w:t>
      </w:r>
      <w:r w:rsidRPr="003A119B">
        <w:rPr>
          <w:b/>
          <w:bCs/>
          <w:u w:val="single"/>
          <w:lang w:val="en-PH"/>
        </w:rPr>
        <w:t>’ or other regulated financial instruments in</w:t>
      </w:r>
      <w:r w:rsidR="003063CF" w:rsidRPr="003A119B">
        <w:rPr>
          <w:b/>
          <w:bCs/>
          <w:u w:val="single"/>
          <w:lang w:val="en-PH"/>
        </w:rPr>
        <w:t xml:space="preserve"> the</w:t>
      </w:r>
      <w:r w:rsidRPr="003A119B">
        <w:rPr>
          <w:b/>
          <w:bCs/>
          <w:u w:val="single"/>
          <w:lang w:val="en-PH"/>
        </w:rPr>
        <w:t xml:space="preserve"> </w:t>
      </w:r>
      <w:r w:rsidR="00EB395E" w:rsidRPr="003A119B">
        <w:rPr>
          <w:b/>
          <w:bCs/>
          <w:u w:val="single"/>
          <w:lang w:val="en-GB"/>
        </w:rPr>
        <w:t>Cayman Islands</w:t>
      </w:r>
      <w:r w:rsidRPr="003A119B">
        <w:rPr>
          <w:b/>
          <w:bCs/>
          <w:u w:val="single"/>
          <w:lang w:val="en-PH"/>
        </w:rPr>
        <w:t>?</w:t>
      </w:r>
    </w:p>
    <w:p w14:paraId="45A0D1EE" w14:textId="77777777" w:rsidR="00EB3F7B" w:rsidRPr="003A119B" w:rsidRDefault="00EB3F7B" w:rsidP="003A119B">
      <w:pPr>
        <w:spacing w:after="0" w:line="240" w:lineRule="auto"/>
        <w:ind w:left="360"/>
        <w:jc w:val="both"/>
        <w:rPr>
          <w:u w:val="single"/>
          <w:lang w:val="en-PH"/>
        </w:rPr>
      </w:pPr>
    </w:p>
    <w:p w14:paraId="154365B0" w14:textId="2187A7B5" w:rsidR="00EB3F7B" w:rsidRPr="003A119B" w:rsidRDefault="0050683B" w:rsidP="003A119B">
      <w:pPr>
        <w:spacing w:after="0" w:line="240" w:lineRule="auto"/>
        <w:ind w:left="360"/>
        <w:jc w:val="both"/>
        <w:rPr>
          <w:rFonts w:eastAsia="Times New Roman"/>
        </w:rPr>
      </w:pPr>
      <w:r w:rsidRPr="0050683B">
        <w:rPr>
          <w:rFonts w:eastAsia="Times New Roman"/>
          <w:lang w:val="en-SG"/>
        </w:rPr>
        <w:t xml:space="preserve">In Cayman Islands, virtual assets are not generally classified as ‘investments’ but instead are defined as a digital representation of value that can be digitally traded or transferred and which has the necessary capacity to be used for payment or investment purposes. That said virtual asset may be classified as securities if it demonstrates the characteristics as outlined in SIBA. </w:t>
      </w:r>
      <w:r w:rsidRPr="0050683B">
        <w:rPr>
          <w:rFonts w:eastAsia="Times New Roman"/>
        </w:rPr>
        <w:t xml:space="preserve">It is noteworthy that the definition of "securities" within SIBA encompasses virtual assets that can be immediately sold, traded, or exchanged, and either represent or can be converted into traditional securities forms (such as equity interests, debt instruments, options, or futures), or represent a derivative of traditional </w:t>
      </w:r>
      <w:r w:rsidRPr="0050683B">
        <w:rPr>
          <w:rFonts w:eastAsia="Times New Roman"/>
        </w:rPr>
        <w:lastRenderedPageBreak/>
        <w:t>securities.</w:t>
      </w:r>
      <w:r w:rsidRPr="0050683B">
        <w:rPr>
          <w:rFonts w:eastAsia="Times New Roman"/>
          <w:lang w:val="en-SG"/>
        </w:rPr>
        <w:t xml:space="preserve"> A</w:t>
      </w:r>
      <w:r w:rsidRPr="0050683B">
        <w:rPr>
          <w:rFonts w:eastAsia="Times New Roman"/>
        </w:rPr>
        <w:t>ny entity established, registered, or operating within the Cayman Islands engaging in the dealing, arranging, managing, or advising on the acquisition or disposal of digital assets may fall under the purview of SIBA to the extent that the involved digital assets qualify as "securities" as defined by SIBA. Such entities might be required to obtain registration or licensing from the CIMA under SIBA framework. That said, this requirement may be in addition to obtaining registration or a license mandated under the VASP Act. Although the CIMA reserves rights to waiver such obligation upon application by an applicant entity to CIMA, if they are satisfied that regulation of such entities is better suited under VASP Act due to the technology involved and complexity of the business activity.</w:t>
      </w:r>
    </w:p>
    <w:p w14:paraId="138DABED" w14:textId="77777777" w:rsidR="004B7F4F" w:rsidRPr="003A119B" w:rsidRDefault="004B7F4F" w:rsidP="003A119B">
      <w:pPr>
        <w:spacing w:after="0" w:line="240" w:lineRule="auto"/>
        <w:ind w:left="360"/>
        <w:jc w:val="both"/>
        <w:rPr>
          <w:rFonts w:eastAsia="Times New Roman"/>
        </w:rPr>
      </w:pPr>
    </w:p>
    <w:p w14:paraId="39E9A416" w14:textId="477C69CE" w:rsidR="00EB3F7B"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Are stablecoins and NFTs regulated in</w:t>
      </w:r>
      <w:r w:rsidR="00C56022"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46A7AD59" w14:textId="77777777" w:rsidR="00930ACC" w:rsidRPr="003A119B" w:rsidRDefault="00930ACC" w:rsidP="003A119B">
      <w:pPr>
        <w:spacing w:after="0" w:line="240" w:lineRule="auto"/>
        <w:ind w:left="360"/>
        <w:jc w:val="both"/>
        <w:rPr>
          <w:rFonts w:eastAsia="Times New Roman"/>
          <w:b/>
          <w:bCs/>
          <w:u w:val="single"/>
          <w:lang w:val="en-PH"/>
        </w:rPr>
      </w:pPr>
    </w:p>
    <w:p w14:paraId="58854A5C" w14:textId="77777777" w:rsidR="00930ACC" w:rsidRPr="00930ACC" w:rsidRDefault="00930ACC" w:rsidP="003A119B">
      <w:pPr>
        <w:spacing w:after="0" w:line="240" w:lineRule="auto"/>
        <w:ind w:left="360"/>
        <w:jc w:val="both"/>
        <w:rPr>
          <w:rFonts w:eastAsia="Times New Roman"/>
          <w:lang w:val="en-SG"/>
        </w:rPr>
      </w:pPr>
      <w:r w:rsidRPr="00930ACC">
        <w:rPr>
          <w:rFonts w:eastAsia="Times New Roman"/>
          <w:lang w:val="en-SG"/>
        </w:rPr>
        <w:t xml:space="preserve">As stablecoins are pegged to the value of dollar or some other asset, it would likely fall within the definition of virtual asset under the act given that it is not a representation of fiat currency. Non-fungible tokens are regulated under the Cayman Islands regulations to the extent where they fall under the definition provided under the VASP Act. However virtual service tokens which are defined as non transferrable or exchangeable with any third party at any time are outside the ambit of the regulations of Cayman Islands. The exclusion is limited to the scope of virtual service tokens whose sole function is to provide access to an application or services or to provide a service or function directly to its owners. </w:t>
      </w:r>
    </w:p>
    <w:p w14:paraId="0C829C1E" w14:textId="77777777" w:rsidR="00930ACC" w:rsidRPr="00930ACC" w:rsidRDefault="00930ACC" w:rsidP="003A119B">
      <w:pPr>
        <w:spacing w:after="0" w:line="240" w:lineRule="auto"/>
        <w:ind w:left="360"/>
        <w:jc w:val="both"/>
        <w:rPr>
          <w:rFonts w:eastAsia="Times New Roman"/>
          <w:lang w:val="en-SG"/>
        </w:rPr>
      </w:pPr>
    </w:p>
    <w:p w14:paraId="2F1F22C2" w14:textId="740B31AF" w:rsidR="00930ACC" w:rsidRPr="003A119B" w:rsidRDefault="00930ACC" w:rsidP="003A119B">
      <w:pPr>
        <w:spacing w:after="0" w:line="240" w:lineRule="auto"/>
        <w:ind w:left="360"/>
        <w:jc w:val="both"/>
        <w:rPr>
          <w:rFonts w:eastAsia="Times New Roman"/>
          <w:lang w:val="en-SG"/>
        </w:rPr>
      </w:pPr>
      <w:r w:rsidRPr="00930ACC">
        <w:rPr>
          <w:rFonts w:eastAsia="Times New Roman"/>
          <w:lang w:val="en-SG"/>
        </w:rPr>
        <w:t>NFTs are not subject to specific regulations under the VASP Act, however it might be covered under the definition of virtual assets on a case by case basis where characteristics of NFTs match with either virtual assets or securities. That said, NFTs that will satisfy and fall within the scope of virtual service tokens will not be considered as virtual assets.</w:t>
      </w:r>
      <w:r w:rsidRPr="003A119B">
        <w:rPr>
          <w:rFonts w:eastAsia="Times New Roman"/>
          <w:lang w:val="en-SG"/>
        </w:rPr>
        <w:t xml:space="preserve"> </w:t>
      </w:r>
      <w:r w:rsidRPr="00930ACC">
        <w:rPr>
          <w:rFonts w:eastAsia="Times New Roman"/>
          <w:lang w:val="en-SG"/>
        </w:rPr>
        <w:t>Any NFTs having characteristics of virtual services tokens are not regulated in Cayman Islands nor are the person or legal entity engaged in such business activity  required to have a license or registration under  the VASP Act.</w:t>
      </w:r>
    </w:p>
    <w:p w14:paraId="17497E82" w14:textId="77777777" w:rsidR="004B7F4F" w:rsidRPr="003A119B" w:rsidRDefault="004B7F4F" w:rsidP="003A119B">
      <w:pPr>
        <w:spacing w:after="0" w:line="240" w:lineRule="auto"/>
        <w:jc w:val="both"/>
        <w:rPr>
          <w:rFonts w:eastAsia="Times New Roman"/>
        </w:rPr>
      </w:pPr>
    </w:p>
    <w:p w14:paraId="28F44618" w14:textId="10634D12" w:rsidR="00010FAB"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Are decentralised finance (DeFi) activities (e.g. lending virtual assets) regulated in</w:t>
      </w:r>
      <w:r w:rsidR="0027548E"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27A0B6F8" w14:textId="77777777" w:rsidR="00EB3F7B" w:rsidRPr="003A119B" w:rsidRDefault="00EB3F7B" w:rsidP="003A119B">
      <w:pPr>
        <w:spacing w:after="0" w:line="240" w:lineRule="auto"/>
        <w:ind w:left="360"/>
        <w:jc w:val="both"/>
        <w:rPr>
          <w:rFonts w:eastAsia="Times New Roman"/>
          <w:u w:val="single"/>
          <w:lang w:val="en-PH"/>
        </w:rPr>
      </w:pPr>
    </w:p>
    <w:p w14:paraId="5DB1F2F5" w14:textId="77777777" w:rsidR="00F126D6" w:rsidRPr="00F126D6" w:rsidRDefault="00F126D6" w:rsidP="003A119B">
      <w:pPr>
        <w:spacing w:after="0" w:line="240" w:lineRule="auto"/>
        <w:ind w:left="360"/>
        <w:jc w:val="both"/>
        <w:rPr>
          <w:rFonts w:eastAsia="Times New Roman"/>
          <w:lang w:val="en-SG"/>
        </w:rPr>
      </w:pPr>
      <w:r w:rsidRPr="00F126D6">
        <w:rPr>
          <w:rFonts w:eastAsia="Times New Roman"/>
        </w:rPr>
        <w:t>The Cayman Islands do not aim to regulate the technology behind virtual assets but focus on the individuals or entities using technology or software applications to conduct virtual asset services as a business. Those involved in developing or selling software applications or new virtual asset platforms (such as FinTech service providers) are not considered VASPs solely for developing or selling the application or platform. However, they may be classified as VASPs if they use the application or platform to engage in virtual asset services on behalf of others. Similarly, decentralized finance (DeFi) applications themselves are not VASPs, but individuals or entities involved in creating, owning, operating, or maintaining control over DeFi arrangements may fall under the FATF definition of a VASP if they provide or actively facilitate VASP services. I</w:t>
      </w:r>
      <w:r w:rsidRPr="00F126D6">
        <w:rPr>
          <w:rFonts w:eastAsia="Times New Roman"/>
          <w:lang w:val="en-SG"/>
        </w:rPr>
        <w:t xml:space="preserve">t may fall under the scope of the regulations VASP Act only to the extent they are covered under the definitions of FinTech services. The term ‘FinTech services’ under the VASP Act means services that uses technology to improve, change or enhance financial services but FinTech services are not considered as virtual asset services under the VASP Act. In absence of regulatory guidance on financial services related to virtual assets, entities involved in financial business activities must seek instructions either in form of registration or waiver from CIMA to conduct their business. </w:t>
      </w:r>
    </w:p>
    <w:p w14:paraId="0EC2815D" w14:textId="77777777" w:rsidR="00F126D6" w:rsidRPr="00F126D6" w:rsidRDefault="00F126D6" w:rsidP="003A119B">
      <w:pPr>
        <w:spacing w:after="0" w:line="240" w:lineRule="auto"/>
        <w:ind w:left="360"/>
        <w:jc w:val="both"/>
        <w:rPr>
          <w:rFonts w:eastAsia="Times New Roman"/>
          <w:lang w:val="en-SG"/>
        </w:rPr>
      </w:pPr>
    </w:p>
    <w:p w14:paraId="38913348" w14:textId="1E5B9822" w:rsidR="00EB3F7B" w:rsidRPr="003A119B" w:rsidRDefault="00F126D6" w:rsidP="003A119B">
      <w:pPr>
        <w:spacing w:after="0" w:line="240" w:lineRule="auto"/>
        <w:ind w:left="360"/>
        <w:jc w:val="both"/>
        <w:rPr>
          <w:rFonts w:eastAsia="Times New Roman"/>
          <w:lang w:val="en-SG"/>
        </w:rPr>
      </w:pPr>
      <w:r w:rsidRPr="00F126D6">
        <w:rPr>
          <w:rFonts w:eastAsia="Times New Roman"/>
        </w:rPr>
        <w:t>The determination of whether an activity falls under the regulations should be made on a casebycase basis, emphasising the practical implications and functions of the business activity.</w:t>
      </w:r>
    </w:p>
    <w:p w14:paraId="082A66AF" w14:textId="77777777" w:rsidR="00F126D6" w:rsidRPr="003A119B" w:rsidRDefault="00F126D6" w:rsidP="003A119B">
      <w:pPr>
        <w:spacing w:after="0" w:line="240" w:lineRule="auto"/>
        <w:ind w:left="360"/>
        <w:jc w:val="both"/>
        <w:rPr>
          <w:rFonts w:eastAsia="Times New Roman"/>
        </w:rPr>
      </w:pPr>
    </w:p>
    <w:p w14:paraId="5EE9132B" w14:textId="6BDC5398" w:rsidR="00EB3F7B"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Are there any restrictions on issuing or publicly offering virtual assets in</w:t>
      </w:r>
      <w:r w:rsidR="00957543"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0569459E" w14:textId="77777777" w:rsidR="007C27ED" w:rsidRPr="003A119B" w:rsidRDefault="007C27ED" w:rsidP="003A119B">
      <w:pPr>
        <w:spacing w:after="0" w:line="240" w:lineRule="auto"/>
        <w:ind w:left="360"/>
        <w:jc w:val="both"/>
        <w:rPr>
          <w:rFonts w:eastAsia="Times New Roman"/>
          <w:b/>
          <w:bCs/>
          <w:u w:val="single"/>
          <w:lang w:val="en-PH"/>
        </w:rPr>
      </w:pPr>
    </w:p>
    <w:p w14:paraId="0933E3B6" w14:textId="77777777" w:rsidR="00307AE3" w:rsidRPr="00307AE3" w:rsidRDefault="00307AE3" w:rsidP="003A119B">
      <w:pPr>
        <w:spacing w:after="0" w:line="240" w:lineRule="auto"/>
        <w:ind w:left="360"/>
        <w:jc w:val="both"/>
        <w:rPr>
          <w:rFonts w:eastAsia="Times New Roman"/>
        </w:rPr>
      </w:pPr>
      <w:r w:rsidRPr="00307AE3">
        <w:rPr>
          <w:rFonts w:eastAsia="Times New Roman"/>
          <w:lang w:val="en-SG"/>
        </w:rPr>
        <w:t xml:space="preserve">Entities seeking to publicly offer Virtual Assets in the Cayman Islands are required to be licensed by the CIMA under the VASP Act. </w:t>
      </w:r>
      <w:r w:rsidRPr="00307AE3">
        <w:rPr>
          <w:rFonts w:eastAsia="Times New Roman"/>
        </w:rPr>
        <w:t>The issuance of virtual assets is subject to restrictions when there is a material risk to the welfare of the public and the stability of the financial services in the Cayman Islands</w:t>
      </w:r>
    </w:p>
    <w:p w14:paraId="26B36521" w14:textId="77777777" w:rsidR="00307AE3" w:rsidRPr="00307AE3" w:rsidRDefault="00307AE3" w:rsidP="003A119B">
      <w:pPr>
        <w:spacing w:after="0" w:line="240" w:lineRule="auto"/>
        <w:ind w:left="360"/>
        <w:jc w:val="both"/>
        <w:rPr>
          <w:rFonts w:eastAsia="Times New Roman"/>
          <w:lang w:val="en-SG"/>
        </w:rPr>
      </w:pPr>
    </w:p>
    <w:p w14:paraId="4B3B7CAD" w14:textId="77777777" w:rsidR="00307AE3" w:rsidRPr="00307AE3" w:rsidRDefault="00307AE3" w:rsidP="003A119B">
      <w:pPr>
        <w:spacing w:after="0" w:line="240" w:lineRule="auto"/>
        <w:ind w:left="360"/>
        <w:jc w:val="both"/>
        <w:rPr>
          <w:rFonts w:eastAsia="Times New Roman"/>
        </w:rPr>
      </w:pPr>
      <w:r w:rsidRPr="00307AE3">
        <w:rPr>
          <w:rFonts w:eastAsia="Times New Roman"/>
        </w:rPr>
        <w:t>Under section 7(1) of the VASP Act, a registered person is prohibited from issuing virtual assets directly to the public in excess of the prescribed threshold Restrictions on the public offering of virtual assets are in place to prevent disruption or prejudice to the CIMA’s functions, the public's interests, or the financial services in the Islands. These measures are designed to regulate and safeguard the issuance of virtual assets, ensuring adherence to established thresholds and maintaining the stability of the financial environment in the Cayman Islands.</w:t>
      </w:r>
    </w:p>
    <w:p w14:paraId="442AE2F2" w14:textId="77777777" w:rsidR="00307AE3" w:rsidRPr="00307AE3" w:rsidRDefault="00307AE3" w:rsidP="003A119B">
      <w:pPr>
        <w:spacing w:after="0" w:line="240" w:lineRule="auto"/>
        <w:ind w:left="360"/>
        <w:jc w:val="both"/>
        <w:rPr>
          <w:rFonts w:eastAsia="Times New Roman"/>
        </w:rPr>
      </w:pPr>
    </w:p>
    <w:p w14:paraId="3C513F8C" w14:textId="77777777" w:rsidR="00307AE3" w:rsidRPr="00307AE3" w:rsidRDefault="00307AE3" w:rsidP="003A119B">
      <w:pPr>
        <w:spacing w:after="0" w:line="240" w:lineRule="auto"/>
        <w:ind w:left="360"/>
        <w:jc w:val="both"/>
        <w:rPr>
          <w:rFonts w:eastAsia="Times New Roman"/>
        </w:rPr>
      </w:pPr>
      <w:r w:rsidRPr="00307AE3">
        <w:rPr>
          <w:rFonts w:eastAsia="Times New Roman"/>
        </w:rPr>
        <w:t>In the context of virtual asset issuance, the CIMA’s decisions hinge on whether a sale of newly created virtual assets to the public within the Cayman Islands is deemed applicable. This determination is guided by the assessment of various factors, including:</w:t>
      </w:r>
    </w:p>
    <w:p w14:paraId="13FFAB57" w14:textId="77777777" w:rsidR="00307AE3" w:rsidRPr="00307AE3" w:rsidRDefault="00307AE3" w:rsidP="003A119B">
      <w:pPr>
        <w:spacing w:after="0" w:line="240" w:lineRule="auto"/>
        <w:ind w:left="360"/>
        <w:jc w:val="both"/>
        <w:rPr>
          <w:rFonts w:eastAsia="Times New Roman"/>
        </w:rPr>
      </w:pPr>
    </w:p>
    <w:p w14:paraId="525CD50A" w14:textId="77777777" w:rsidR="00307AE3" w:rsidRPr="00307AE3" w:rsidRDefault="00307AE3" w:rsidP="00EA6E3D">
      <w:pPr>
        <w:numPr>
          <w:ilvl w:val="0"/>
          <w:numId w:val="119"/>
        </w:numPr>
        <w:spacing w:after="0" w:line="240" w:lineRule="auto"/>
        <w:ind w:left="1080"/>
        <w:jc w:val="both"/>
        <w:rPr>
          <w:rFonts w:eastAsia="Times New Roman"/>
        </w:rPr>
      </w:pPr>
      <w:r w:rsidRPr="00307AE3">
        <w:rPr>
          <w:rFonts w:eastAsia="Times New Roman"/>
        </w:rPr>
        <w:t>the CIMA evaluates whether the virtual asset sale is advertised through promotional materials, announcements, or statements in a manner accessible to individuals or entities within the Cayman Islands. The participation of local entities or individuals in the issuance, either directly from the issuer or indirectly through a third party facilitating the sale, is a key consideration;</w:t>
      </w:r>
    </w:p>
    <w:p w14:paraId="4E65AF75" w14:textId="77777777" w:rsidR="00307AE3" w:rsidRPr="00307AE3" w:rsidRDefault="00307AE3" w:rsidP="00EA6E3D">
      <w:pPr>
        <w:spacing w:after="0" w:line="240" w:lineRule="auto"/>
        <w:jc w:val="both"/>
        <w:rPr>
          <w:rFonts w:eastAsia="Times New Roman"/>
        </w:rPr>
      </w:pPr>
    </w:p>
    <w:p w14:paraId="2E08F8A4" w14:textId="77777777" w:rsidR="00307AE3" w:rsidRPr="00307AE3" w:rsidRDefault="00307AE3" w:rsidP="00EA6E3D">
      <w:pPr>
        <w:numPr>
          <w:ilvl w:val="0"/>
          <w:numId w:val="119"/>
        </w:numPr>
        <w:spacing w:after="0" w:line="240" w:lineRule="auto"/>
        <w:ind w:left="1080"/>
        <w:jc w:val="both"/>
        <w:rPr>
          <w:rFonts w:eastAsia="Times New Roman"/>
        </w:rPr>
      </w:pPr>
      <w:r w:rsidRPr="00307AE3">
        <w:rPr>
          <w:rFonts w:eastAsia="Times New Roman"/>
        </w:rPr>
        <w:t>for offering from within the Islands, a person or entity listed in section 3(1) of the VASP Act offers newly created virtual assets for sale from within the Cayman Islands, the CIMA examines whether the sale is not advertised locally, and individuals or entities within the Islands are not able to participate in the issuance; and</w:t>
      </w:r>
    </w:p>
    <w:p w14:paraId="29377CF4" w14:textId="77777777" w:rsidR="00307AE3" w:rsidRPr="00307AE3" w:rsidRDefault="00307AE3" w:rsidP="00EA6E3D">
      <w:pPr>
        <w:spacing w:after="0" w:line="240" w:lineRule="auto"/>
        <w:jc w:val="both"/>
        <w:rPr>
          <w:rFonts w:eastAsia="Times New Roman"/>
        </w:rPr>
      </w:pPr>
    </w:p>
    <w:p w14:paraId="50C15A28" w14:textId="77777777" w:rsidR="00307AE3" w:rsidRPr="00307AE3" w:rsidRDefault="00307AE3" w:rsidP="00EA6E3D">
      <w:pPr>
        <w:numPr>
          <w:ilvl w:val="0"/>
          <w:numId w:val="119"/>
        </w:numPr>
        <w:spacing w:after="0" w:line="240" w:lineRule="auto"/>
        <w:ind w:left="1080"/>
        <w:jc w:val="both"/>
        <w:rPr>
          <w:rFonts w:eastAsia="Times New Roman"/>
        </w:rPr>
      </w:pPr>
      <w:r w:rsidRPr="00307AE3">
        <w:rPr>
          <w:rFonts w:eastAsia="Times New Roman"/>
        </w:rPr>
        <w:t>the CIMA distinguishes between a private sale and a public sale. A private sale involves a limited number of persons or entities selected through a private agreement and is not subject to public advertisement. Whereas a public sale of virtual assets are made to the public at large and CIMA requires advertisement of such assets before they are sold to the public.</w:t>
      </w:r>
    </w:p>
    <w:p w14:paraId="24AC8F3E" w14:textId="77777777" w:rsidR="00307AE3" w:rsidRPr="00307AE3" w:rsidRDefault="00307AE3" w:rsidP="003A119B">
      <w:pPr>
        <w:spacing w:after="0" w:line="240" w:lineRule="auto"/>
        <w:ind w:left="360"/>
        <w:jc w:val="both"/>
        <w:rPr>
          <w:rFonts w:eastAsia="Times New Roman"/>
          <w:lang w:val="en-SG"/>
        </w:rPr>
      </w:pPr>
    </w:p>
    <w:p w14:paraId="0B0007C8" w14:textId="77777777" w:rsidR="00307AE3" w:rsidRPr="00307AE3" w:rsidRDefault="00307AE3" w:rsidP="003A119B">
      <w:pPr>
        <w:spacing w:after="0" w:line="240" w:lineRule="auto"/>
        <w:ind w:left="360"/>
        <w:jc w:val="both"/>
        <w:rPr>
          <w:rFonts w:eastAsia="Times New Roman"/>
          <w:lang w:val="en-SG"/>
        </w:rPr>
      </w:pPr>
      <w:r w:rsidRPr="00307AE3">
        <w:rPr>
          <w:rFonts w:eastAsia="Times New Roman"/>
          <w:lang w:val="en-SG"/>
        </w:rPr>
        <w:t>Where the virtual asset is classified as a ‘securities’ and falls within the scope of the SIBA framework, the entity must acquire a license under SIBA framework or a waiver from CIMA to issue such assets.</w:t>
      </w:r>
    </w:p>
    <w:p w14:paraId="4BFE7130" w14:textId="77777777" w:rsidR="004B7F4F" w:rsidRPr="003A119B" w:rsidRDefault="004B7F4F" w:rsidP="003A119B">
      <w:pPr>
        <w:spacing w:after="0" w:line="240" w:lineRule="auto"/>
        <w:jc w:val="both"/>
        <w:rPr>
          <w:rFonts w:eastAsia="Times New Roman"/>
          <w:b/>
          <w:bCs/>
          <w:u w:val="single"/>
          <w:lang w:val="en-PH"/>
        </w:rPr>
      </w:pPr>
    </w:p>
    <w:p w14:paraId="7DB5F4FC" w14:textId="45E55718" w:rsidR="003E57CA"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there any exemptions to the restrictions on issuing or publicly offering of virtual assets in the </w:t>
      </w:r>
      <w:r w:rsidR="00713B35" w:rsidRPr="003A119B">
        <w:rPr>
          <w:rFonts w:eastAsia="Times New Roman"/>
          <w:b/>
          <w:bCs/>
          <w:u w:val="single"/>
          <w:lang w:val="en-GB"/>
        </w:rPr>
        <w:t>Cayman Islands</w:t>
      </w:r>
      <w:r w:rsidRPr="003A119B">
        <w:rPr>
          <w:rFonts w:eastAsia="Times New Roman"/>
          <w:b/>
          <w:bCs/>
          <w:u w:val="single"/>
          <w:lang w:val="en-PH"/>
        </w:rPr>
        <w:t>?</w:t>
      </w:r>
    </w:p>
    <w:p w14:paraId="616AE17F" w14:textId="77777777" w:rsidR="00D17AD2" w:rsidRPr="003A119B" w:rsidRDefault="00D17AD2" w:rsidP="003A119B">
      <w:pPr>
        <w:spacing w:after="0" w:line="240" w:lineRule="auto"/>
        <w:ind w:left="360"/>
        <w:jc w:val="both"/>
        <w:rPr>
          <w:rFonts w:eastAsia="Times New Roman"/>
          <w:b/>
          <w:bCs/>
          <w:u w:val="single"/>
          <w:lang w:val="en-PH"/>
        </w:rPr>
      </w:pPr>
    </w:p>
    <w:p w14:paraId="6CDAE574" w14:textId="77777777" w:rsidR="00D17AD2" w:rsidRPr="00D17AD2" w:rsidRDefault="00D17AD2" w:rsidP="003A119B">
      <w:pPr>
        <w:spacing w:after="0" w:line="240" w:lineRule="auto"/>
        <w:ind w:left="360"/>
        <w:jc w:val="both"/>
        <w:rPr>
          <w:rFonts w:eastAsia="Times New Roman"/>
          <w:bCs/>
        </w:rPr>
      </w:pPr>
      <w:r w:rsidRPr="00D17AD2">
        <w:rPr>
          <w:rFonts w:eastAsia="Times New Roman"/>
          <w:bCs/>
        </w:rPr>
        <w:t>Despite the provisions in section 7(1) and 7(1A) of the VASP Act, a registered person is permittedto involve one or more virtual asset trading platforms that are either obliged entities or licensed under the VASP Act for the issuance of newly created virtual assets exceeding the prescribed threshold. In this scenario, the issuance of virtual assets is facilitated through these virtual asset trading platforms.</w:t>
      </w:r>
    </w:p>
    <w:p w14:paraId="3F37E1D3" w14:textId="77777777" w:rsidR="004B7F4F" w:rsidRPr="003A119B" w:rsidRDefault="004B7F4F" w:rsidP="003A119B">
      <w:pPr>
        <w:spacing w:after="0" w:line="240" w:lineRule="auto"/>
        <w:jc w:val="both"/>
        <w:rPr>
          <w:rFonts w:eastAsia="Times New Roman"/>
          <w:b/>
          <w:bCs/>
          <w:u w:val="single"/>
          <w:lang w:val="en-PH"/>
        </w:rPr>
      </w:pPr>
    </w:p>
    <w:p w14:paraId="73C2D5FA" w14:textId="0F499127" w:rsidR="00B62FFD" w:rsidRPr="003A119B" w:rsidRDefault="001E36BD"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Regulation of VASPs in</w:t>
      </w:r>
      <w:r w:rsidR="0062470B"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Cayman Islands</w:t>
      </w:r>
    </w:p>
    <w:p w14:paraId="75768B96" w14:textId="77777777" w:rsidR="00EB3F7B" w:rsidRPr="003A119B" w:rsidRDefault="00EB3F7B" w:rsidP="003A119B">
      <w:pPr>
        <w:spacing w:after="0" w:line="240" w:lineRule="auto"/>
        <w:jc w:val="both"/>
        <w:rPr>
          <w:rFonts w:eastAsia="Times New Roman"/>
          <w:b/>
          <w:bCs/>
          <w:lang w:val="en-PH"/>
        </w:rPr>
      </w:pPr>
    </w:p>
    <w:p w14:paraId="3DA1BC88" w14:textId="14AB75DC" w:rsidR="00953BF3"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lastRenderedPageBreak/>
        <w:t xml:space="preserve">Are VASPs operating in </w:t>
      </w:r>
      <w:r w:rsidR="00957543" w:rsidRPr="003A119B">
        <w:rPr>
          <w:rFonts w:eastAsia="Times New Roman"/>
          <w:b/>
          <w:bCs/>
          <w:u w:val="single"/>
          <w:lang w:val="en-PH"/>
        </w:rPr>
        <w:t xml:space="preserve">the </w:t>
      </w:r>
      <w:r w:rsidR="00713B35" w:rsidRPr="003A119B">
        <w:rPr>
          <w:rFonts w:eastAsia="Times New Roman"/>
          <w:b/>
          <w:bCs/>
          <w:u w:val="single"/>
          <w:lang w:val="en-GB"/>
        </w:rPr>
        <w:t xml:space="preserve">Cayman Islands </w:t>
      </w:r>
      <w:r w:rsidRPr="003A119B">
        <w:rPr>
          <w:rFonts w:eastAsia="Times New Roman"/>
          <w:b/>
          <w:bCs/>
          <w:u w:val="single"/>
          <w:lang w:val="en-PH"/>
        </w:rPr>
        <w:t>subject to regulation?</w:t>
      </w:r>
    </w:p>
    <w:p w14:paraId="2E82B74B" w14:textId="77777777" w:rsidR="00EB3F7B" w:rsidRPr="003A119B" w:rsidRDefault="00EB3F7B" w:rsidP="003A119B">
      <w:pPr>
        <w:spacing w:after="0" w:line="240" w:lineRule="auto"/>
        <w:ind w:left="360"/>
        <w:jc w:val="both"/>
        <w:rPr>
          <w:rFonts w:eastAsia="Times New Roman"/>
          <w:bCs/>
          <w:lang w:val="en-PH"/>
        </w:rPr>
      </w:pPr>
    </w:p>
    <w:p w14:paraId="1AA61744" w14:textId="77777777" w:rsidR="001F0962" w:rsidRPr="001F0962" w:rsidRDefault="001F0962" w:rsidP="003A119B">
      <w:pPr>
        <w:spacing w:after="0" w:line="240" w:lineRule="auto"/>
        <w:ind w:left="360"/>
        <w:jc w:val="both"/>
        <w:rPr>
          <w:rFonts w:eastAsia="Times New Roman"/>
          <w:bCs/>
          <w:lang w:val="en-SG"/>
        </w:rPr>
      </w:pPr>
      <w:r w:rsidRPr="001F0962">
        <w:rPr>
          <w:rFonts w:eastAsia="Times New Roman"/>
          <w:bCs/>
          <w:lang w:val="en-SG"/>
        </w:rPr>
        <w:t>Yes, a person who wishes to carry on in or from within the Cayman Islands involved in the business of providing virtual asset services must apply to the CIMA for registration as a VASP. Licensed VASPs are able to (i) carry on the business of providing a virtual asset service; (ii) engage in the business of providing a virtual assets custody service; or (iii) operate a virtual asset exchange.</w:t>
      </w:r>
    </w:p>
    <w:p w14:paraId="71D0AEB8" w14:textId="3420609E" w:rsidR="00307AE3" w:rsidRPr="003A119B" w:rsidRDefault="00307AE3" w:rsidP="003A119B">
      <w:pPr>
        <w:spacing w:after="0" w:line="240" w:lineRule="auto"/>
        <w:jc w:val="both"/>
        <w:rPr>
          <w:rFonts w:eastAsia="Times New Roman"/>
          <w:bCs/>
        </w:rPr>
      </w:pPr>
    </w:p>
    <w:p w14:paraId="40B7010D" w14:textId="4B3A0287" w:rsidR="00953BF3"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VASPs providing virtual asset services from offshore to persons in the </w:t>
      </w:r>
      <w:r w:rsidR="00713B35" w:rsidRPr="003A119B">
        <w:rPr>
          <w:rFonts w:eastAsia="Times New Roman"/>
          <w:b/>
          <w:bCs/>
          <w:u w:val="single"/>
          <w:lang w:val="en-GB"/>
        </w:rPr>
        <w:t xml:space="preserve">Cayman Islands </w:t>
      </w:r>
      <w:r w:rsidRPr="003A119B">
        <w:rPr>
          <w:rFonts w:eastAsia="Times New Roman"/>
          <w:b/>
          <w:bCs/>
          <w:u w:val="single"/>
          <w:lang w:val="en-PH"/>
        </w:rPr>
        <w:t xml:space="preserve">subject to regulation in </w:t>
      </w:r>
      <w:r w:rsidR="00A709F5" w:rsidRPr="003A119B">
        <w:rPr>
          <w:rFonts w:eastAsia="Times New Roman"/>
          <w:b/>
          <w:bCs/>
          <w:u w:val="single"/>
          <w:lang w:val="en-PH"/>
        </w:rPr>
        <w:t xml:space="preserve">the </w:t>
      </w:r>
      <w:r w:rsidR="00713B35" w:rsidRPr="003A119B">
        <w:rPr>
          <w:rFonts w:eastAsia="Times New Roman"/>
          <w:b/>
          <w:bCs/>
          <w:u w:val="single"/>
          <w:lang w:val="en-GB"/>
        </w:rPr>
        <w:t>Cayman Islands</w:t>
      </w:r>
      <w:r w:rsidRPr="003A119B">
        <w:rPr>
          <w:rFonts w:eastAsia="Times New Roman"/>
          <w:b/>
          <w:bCs/>
          <w:u w:val="single"/>
          <w:lang w:val="en-PH"/>
        </w:rPr>
        <w:t>?</w:t>
      </w:r>
    </w:p>
    <w:p w14:paraId="1184F644" w14:textId="77777777" w:rsidR="00EB3F7B" w:rsidRPr="003A119B" w:rsidRDefault="00EB3F7B" w:rsidP="003A119B">
      <w:pPr>
        <w:spacing w:after="0" w:line="240" w:lineRule="auto"/>
        <w:ind w:left="360"/>
        <w:jc w:val="both"/>
        <w:rPr>
          <w:rFonts w:eastAsia="Times New Roman"/>
          <w:bCs/>
          <w:lang w:val="en-PH"/>
        </w:rPr>
      </w:pPr>
    </w:p>
    <w:p w14:paraId="56884E27" w14:textId="77777777" w:rsidR="001F0962" w:rsidRPr="001F0962" w:rsidRDefault="001F0962" w:rsidP="003A119B">
      <w:pPr>
        <w:spacing w:after="0" w:line="240" w:lineRule="auto"/>
        <w:ind w:left="360"/>
        <w:jc w:val="both"/>
        <w:rPr>
          <w:rFonts w:eastAsia="Times New Roman"/>
          <w:bCs/>
          <w:lang w:val="en-SG"/>
        </w:rPr>
      </w:pPr>
      <w:r w:rsidRPr="001F0962">
        <w:rPr>
          <w:rFonts w:eastAsia="Times New Roman"/>
          <w:bCs/>
          <w:lang w:val="en-SG"/>
        </w:rPr>
        <w:t>Yes, any offshore VASP that wishes to provide virtual asset services to persons in the Cayman Islands will need to be registered or licensed with the CIMA based on the nature of services rendered by VASP and the requirements associated with it the VASP Act.</w:t>
      </w:r>
    </w:p>
    <w:p w14:paraId="3D0C6D32" w14:textId="13C226C4" w:rsidR="00307AE3" w:rsidRPr="003A119B" w:rsidRDefault="00307AE3" w:rsidP="003A119B">
      <w:pPr>
        <w:spacing w:after="0" w:line="240" w:lineRule="auto"/>
        <w:jc w:val="both"/>
        <w:rPr>
          <w:rFonts w:eastAsia="Times New Roman"/>
          <w:bCs/>
        </w:rPr>
      </w:pPr>
    </w:p>
    <w:p w14:paraId="2FC2B041" w14:textId="0DC34F43" w:rsidR="00184EE6"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What are the main requirements for obtaining licensing / registration as a VASP in</w:t>
      </w:r>
      <w:r w:rsidR="003968B7"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45705958" w14:textId="77777777" w:rsidR="001F0962" w:rsidRPr="003A119B" w:rsidRDefault="001F0962" w:rsidP="003A119B">
      <w:pPr>
        <w:spacing w:after="0" w:line="240" w:lineRule="auto"/>
        <w:ind w:left="360"/>
        <w:jc w:val="both"/>
        <w:rPr>
          <w:rFonts w:eastAsia="Times New Roman"/>
          <w:b/>
          <w:bCs/>
          <w:u w:val="single"/>
          <w:lang w:val="en-PH"/>
        </w:rPr>
      </w:pPr>
    </w:p>
    <w:p w14:paraId="3E43483C" w14:textId="77777777" w:rsidR="001F0962" w:rsidRPr="001F0962" w:rsidRDefault="001F0962" w:rsidP="003A119B">
      <w:pPr>
        <w:spacing w:after="0" w:line="240" w:lineRule="auto"/>
        <w:ind w:left="360"/>
        <w:jc w:val="both"/>
        <w:rPr>
          <w:rFonts w:eastAsia="Times New Roman"/>
        </w:rPr>
      </w:pPr>
      <w:r w:rsidRPr="001F0962">
        <w:rPr>
          <w:rFonts w:eastAsia="Times New Roman"/>
        </w:rPr>
        <w:t>Section 6(1) of the VASP Act outlines the relevant requirements and fee for registration of VASPs along with procedures and documents required by the CIMA. CIMA requires that entities engaged in or wishing to engage in virtual asset services must complete the two application forms for VASPs [(APP-101-84 and APP-101-84a)] which are available on </w:t>
      </w:r>
      <w:bookmarkStart w:id="1" w:name="REEFS"/>
      <w:r w:rsidRPr="001F0962">
        <w:rPr>
          <w:rFonts w:eastAsia="Times New Roman"/>
        </w:rPr>
        <w:t>`REEFS</w:t>
      </w:r>
      <w:bookmarkEnd w:id="1"/>
      <w:r w:rsidRPr="001F0962">
        <w:rPr>
          <w:rFonts w:eastAsia="Times New Roman"/>
        </w:rPr>
        <w:t>’ portal. The applicant, as part of outlining the requirements, is mandated to furnish details such as its name, any previous names or trading names, date and places of formation, legal entity identifier, legal structure, and registration number. The applicant is also required to disclose its licensing or registration status in other jurisdictions, including relevant details such as the date of commencement, licensing authority, and any associated requirements or restrictions. Additionally, the applicant must provide information about its involvement or control over other entities engaged in virtual asset services in various jurisdictions. The applicant further needs to highlight any virtual asset services provided in jurisdictions outside those listed initially. Lastly, the applicant is obligated to acknowledge and disclose any penalties or enforcement actions imposed in other jurisdictions.</w:t>
      </w:r>
    </w:p>
    <w:p w14:paraId="36370781" w14:textId="77777777" w:rsidR="001F0962" w:rsidRPr="001F0962" w:rsidRDefault="001F0962" w:rsidP="003A119B">
      <w:pPr>
        <w:spacing w:after="0" w:line="240" w:lineRule="auto"/>
        <w:ind w:left="360"/>
        <w:jc w:val="both"/>
        <w:rPr>
          <w:rFonts w:eastAsia="Times New Roman"/>
        </w:rPr>
      </w:pPr>
    </w:p>
    <w:p w14:paraId="7827B44E" w14:textId="77777777" w:rsidR="001F0962" w:rsidRPr="001F0962" w:rsidRDefault="001F0962" w:rsidP="003A119B">
      <w:pPr>
        <w:spacing w:after="0" w:line="240" w:lineRule="auto"/>
        <w:ind w:left="360"/>
        <w:jc w:val="both"/>
        <w:rPr>
          <w:rFonts w:eastAsia="Times New Roman"/>
        </w:rPr>
      </w:pPr>
      <w:r w:rsidRPr="001F0962">
        <w:rPr>
          <w:rFonts w:eastAsia="Times New Roman"/>
        </w:rPr>
        <w:t>The application for registration as a VASP requires the submission of various documents along with application forms APP-101-84 and APP-101-84a.</w:t>
      </w:r>
    </w:p>
    <w:p w14:paraId="263D0960" w14:textId="77777777" w:rsidR="001F0962" w:rsidRPr="001F0962" w:rsidRDefault="001F0962" w:rsidP="003A119B">
      <w:pPr>
        <w:spacing w:after="0" w:line="240" w:lineRule="auto"/>
        <w:ind w:left="360"/>
        <w:jc w:val="both"/>
        <w:rPr>
          <w:rFonts w:eastAsia="Times New Roman"/>
          <w:lang w:val="en-SG"/>
        </w:rPr>
      </w:pPr>
    </w:p>
    <w:p w14:paraId="0E9D773A" w14:textId="77777777" w:rsidR="001F0962" w:rsidRPr="001F0962" w:rsidRDefault="001F0962" w:rsidP="003A119B">
      <w:pPr>
        <w:spacing w:after="0" w:line="240" w:lineRule="auto"/>
        <w:ind w:left="360"/>
        <w:jc w:val="both"/>
        <w:rPr>
          <w:rFonts w:eastAsia="Times New Roman"/>
          <w:lang w:val="en-SG"/>
        </w:rPr>
      </w:pPr>
      <w:r w:rsidRPr="001F0962">
        <w:rPr>
          <w:rFonts w:eastAsia="Times New Roman"/>
          <w:lang w:val="en-SG"/>
        </w:rPr>
        <w:t>The application for applying to the CIMA to be registered as a VASP must include, amongst others, the following information:</w:t>
      </w:r>
    </w:p>
    <w:p w14:paraId="49F3AD42" w14:textId="77777777" w:rsidR="001F0962" w:rsidRPr="001F0962" w:rsidRDefault="001F0962" w:rsidP="003A119B">
      <w:pPr>
        <w:spacing w:after="0" w:line="240" w:lineRule="auto"/>
        <w:ind w:left="360"/>
        <w:jc w:val="both"/>
        <w:rPr>
          <w:rFonts w:eastAsia="Times New Roman"/>
          <w:lang w:val="en-SG"/>
        </w:rPr>
      </w:pPr>
    </w:p>
    <w:p w14:paraId="244A97DE"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the nature, function and purpose of the virtual asset service;</w:t>
      </w:r>
    </w:p>
    <w:p w14:paraId="5CB0DFC9" w14:textId="77777777" w:rsidR="001F0962" w:rsidRPr="001F0962" w:rsidRDefault="001F0962" w:rsidP="003F5ABF">
      <w:pPr>
        <w:spacing w:after="0" w:line="240" w:lineRule="auto"/>
        <w:ind w:left="1156"/>
        <w:jc w:val="both"/>
        <w:rPr>
          <w:rFonts w:eastAsia="Times New Roman"/>
        </w:rPr>
      </w:pPr>
    </w:p>
    <w:p w14:paraId="08860E72"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the revenue for the prior twelve months or, if unavailable, the projected revenue for the twelve month period following an application for each virtual asset service to be provided;</w:t>
      </w:r>
    </w:p>
    <w:p w14:paraId="19E4D886" w14:textId="77777777" w:rsidR="001F0962" w:rsidRPr="001F0962" w:rsidRDefault="001F0962" w:rsidP="003F5ABF">
      <w:pPr>
        <w:spacing w:after="0" w:line="240" w:lineRule="auto"/>
        <w:ind w:left="1156"/>
        <w:jc w:val="both"/>
        <w:rPr>
          <w:rFonts w:eastAsia="Times New Roman"/>
        </w:rPr>
      </w:pPr>
    </w:p>
    <w:p w14:paraId="7B534D7D"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the manner in which the virtual asset service will be provided to the public; and</w:t>
      </w:r>
    </w:p>
    <w:p w14:paraId="45D0B92F" w14:textId="77777777" w:rsidR="001F0962" w:rsidRPr="001F0962" w:rsidRDefault="001F0962" w:rsidP="003F5ABF">
      <w:pPr>
        <w:spacing w:after="0" w:line="240" w:lineRule="auto"/>
        <w:ind w:left="1156"/>
        <w:jc w:val="both"/>
        <w:rPr>
          <w:rFonts w:eastAsia="Times New Roman"/>
        </w:rPr>
      </w:pPr>
    </w:p>
    <w:p w14:paraId="735D14D1"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identified risks associated with the virtual asset service, including data security risks and steps put in place to mitigate these risks, including any insurance arrangements;</w:t>
      </w:r>
    </w:p>
    <w:p w14:paraId="54F48079" w14:textId="77777777" w:rsidR="001F0962" w:rsidRPr="001F0962" w:rsidRDefault="001F0962" w:rsidP="003F5ABF">
      <w:pPr>
        <w:spacing w:after="0" w:line="240" w:lineRule="auto"/>
        <w:ind w:left="1156"/>
        <w:jc w:val="both"/>
        <w:rPr>
          <w:rFonts w:eastAsia="Times New Roman"/>
        </w:rPr>
      </w:pPr>
    </w:p>
    <w:p w14:paraId="42F1872F"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lastRenderedPageBreak/>
        <w:t>provide an outline of internal safeguards and data protection systems that will be put in place to protect the assets and data of clients;</w:t>
      </w:r>
    </w:p>
    <w:p w14:paraId="46DBFF20" w14:textId="77777777" w:rsidR="001F0962" w:rsidRPr="001F0962" w:rsidRDefault="001F0962" w:rsidP="003F5ABF">
      <w:pPr>
        <w:spacing w:after="0" w:line="240" w:lineRule="auto"/>
        <w:ind w:left="1156"/>
        <w:jc w:val="both"/>
        <w:rPr>
          <w:rFonts w:eastAsia="Times New Roman"/>
        </w:rPr>
      </w:pPr>
    </w:p>
    <w:p w14:paraId="00D73B6E"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copies of cyber security policies following CIMA’s guidance on cyber security;</w:t>
      </w:r>
    </w:p>
    <w:p w14:paraId="5C0FA567" w14:textId="77777777" w:rsidR="001F0962" w:rsidRPr="001F0962" w:rsidRDefault="001F0962" w:rsidP="003F5ABF">
      <w:pPr>
        <w:spacing w:after="0" w:line="240" w:lineRule="auto"/>
        <w:ind w:left="1156"/>
        <w:jc w:val="both"/>
        <w:rPr>
          <w:rFonts w:eastAsia="Times New Roman"/>
        </w:rPr>
      </w:pPr>
    </w:p>
    <w:p w14:paraId="6D539ED9" w14:textId="77C508E7" w:rsidR="001F0962" w:rsidRPr="003A119B" w:rsidRDefault="001F0962" w:rsidP="003F5ABF">
      <w:pPr>
        <w:numPr>
          <w:ilvl w:val="0"/>
          <w:numId w:val="120"/>
        </w:numPr>
        <w:spacing w:after="0" w:line="240" w:lineRule="auto"/>
        <w:ind w:left="1298"/>
        <w:jc w:val="both"/>
        <w:rPr>
          <w:rFonts w:eastAsia="Times New Roman"/>
        </w:rPr>
      </w:pPr>
      <w:r w:rsidRPr="001F0962">
        <w:rPr>
          <w:rFonts w:eastAsia="Times New Roman"/>
        </w:rPr>
        <w:t>copies of Anti-Money Laundering/Counter Financing of Terrorism (AML/CFT) policies in line with the Anti-Money Laundering Regulations and Guidance Notes;</w:t>
      </w:r>
    </w:p>
    <w:p w14:paraId="038A51AB" w14:textId="77777777" w:rsidR="001F0962" w:rsidRPr="003A119B" w:rsidRDefault="001F0962" w:rsidP="003F5ABF">
      <w:pPr>
        <w:spacing w:after="0" w:line="240" w:lineRule="auto"/>
        <w:ind w:left="436"/>
        <w:jc w:val="both"/>
        <w:rPr>
          <w:rFonts w:eastAsia="Times New Roman"/>
        </w:rPr>
      </w:pPr>
    </w:p>
    <w:p w14:paraId="6103C2DB" w14:textId="66DC1C13"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comprehensive business plan;</w:t>
      </w:r>
    </w:p>
    <w:p w14:paraId="68573EB9" w14:textId="77777777" w:rsidR="001F0962" w:rsidRPr="001F0962" w:rsidRDefault="001F0962" w:rsidP="003F5ABF">
      <w:pPr>
        <w:spacing w:after="0" w:line="240" w:lineRule="auto"/>
        <w:ind w:left="1156"/>
        <w:jc w:val="both"/>
        <w:rPr>
          <w:rFonts w:eastAsia="Times New Roman"/>
        </w:rPr>
      </w:pPr>
    </w:p>
    <w:p w14:paraId="760E2003"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transaction flow charts;</w:t>
      </w:r>
    </w:p>
    <w:p w14:paraId="16EF0702" w14:textId="77777777" w:rsidR="001F0962" w:rsidRPr="001F0962" w:rsidRDefault="001F0962" w:rsidP="003F5ABF">
      <w:pPr>
        <w:spacing w:after="0" w:line="240" w:lineRule="auto"/>
        <w:ind w:left="1156"/>
        <w:jc w:val="both"/>
        <w:rPr>
          <w:rFonts w:eastAsia="Times New Roman"/>
        </w:rPr>
      </w:pPr>
    </w:p>
    <w:p w14:paraId="6AEC8B33"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details of outsourced arrangements and related agreements.</w:t>
      </w:r>
    </w:p>
    <w:p w14:paraId="0FA51B91" w14:textId="77777777" w:rsidR="001F0962" w:rsidRPr="001F0962" w:rsidRDefault="001F0962" w:rsidP="003F5ABF">
      <w:pPr>
        <w:spacing w:after="0" w:line="240" w:lineRule="auto"/>
        <w:ind w:left="1156"/>
        <w:jc w:val="both"/>
        <w:rPr>
          <w:rFonts w:eastAsia="Times New Roman"/>
        </w:rPr>
      </w:pPr>
    </w:p>
    <w:p w14:paraId="4C1F3CDA"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completed Declaration of Source of Funds/Source of Wealth form with supporting evidence for major shareholders;</w:t>
      </w:r>
    </w:p>
    <w:p w14:paraId="656E535B" w14:textId="77777777" w:rsidR="001F0962" w:rsidRPr="001F0962" w:rsidRDefault="001F0962" w:rsidP="003F5ABF">
      <w:pPr>
        <w:spacing w:after="0" w:line="240" w:lineRule="auto"/>
        <w:ind w:left="1156"/>
        <w:jc w:val="both"/>
        <w:rPr>
          <w:rFonts w:eastAsia="Times New Roman"/>
        </w:rPr>
      </w:pPr>
    </w:p>
    <w:p w14:paraId="5480B3EE"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list of the applicant’s blockchain addresses (per coin);</w:t>
      </w:r>
    </w:p>
    <w:p w14:paraId="6883A48C" w14:textId="77777777" w:rsidR="001F0962" w:rsidRPr="001F0962" w:rsidRDefault="001F0962" w:rsidP="003F5ABF">
      <w:pPr>
        <w:spacing w:after="0" w:line="240" w:lineRule="auto"/>
        <w:ind w:left="1156"/>
        <w:jc w:val="both"/>
        <w:rPr>
          <w:rFonts w:eastAsia="Times New Roman"/>
        </w:rPr>
      </w:pPr>
    </w:p>
    <w:p w14:paraId="1D4C8F10"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details of all shareholders with more than a 10% shareholding along with a completed CIMA personal questionnaire;</w:t>
      </w:r>
    </w:p>
    <w:p w14:paraId="1D192A7D" w14:textId="77777777" w:rsidR="001F0962" w:rsidRPr="001F0962" w:rsidRDefault="001F0962" w:rsidP="003F5ABF">
      <w:pPr>
        <w:spacing w:after="0" w:line="240" w:lineRule="auto"/>
        <w:ind w:left="1156"/>
        <w:jc w:val="both"/>
        <w:rPr>
          <w:rFonts w:eastAsia="Times New Roman"/>
        </w:rPr>
      </w:pPr>
    </w:p>
    <w:p w14:paraId="697FB06F"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information on Chief Information Officer/Chief Information Security Officer;</w:t>
      </w:r>
    </w:p>
    <w:p w14:paraId="62A086E9" w14:textId="77777777" w:rsidR="001F0962" w:rsidRPr="001F0962" w:rsidRDefault="001F0962" w:rsidP="003F5ABF">
      <w:pPr>
        <w:spacing w:after="0" w:line="240" w:lineRule="auto"/>
        <w:ind w:left="938"/>
        <w:jc w:val="both"/>
        <w:rPr>
          <w:rFonts w:eastAsia="Times New Roman"/>
        </w:rPr>
      </w:pPr>
    </w:p>
    <w:p w14:paraId="032C26D2" w14:textId="2818A2A2" w:rsidR="001F0962" w:rsidRPr="001F0962" w:rsidRDefault="001F0962" w:rsidP="003A119B">
      <w:pPr>
        <w:numPr>
          <w:ilvl w:val="1"/>
          <w:numId w:val="21"/>
        </w:numPr>
        <w:spacing w:after="0" w:line="240" w:lineRule="auto"/>
        <w:ind w:left="1658"/>
        <w:jc w:val="both"/>
        <w:rPr>
          <w:rFonts w:eastAsia="Times New Roman"/>
        </w:rPr>
      </w:pPr>
      <w:r w:rsidRPr="001F0962">
        <w:rPr>
          <w:rFonts w:eastAsia="Times New Roman"/>
        </w:rPr>
        <w:t>certified copies of academic and professional qualification certificates of senior management staff;</w:t>
      </w:r>
    </w:p>
    <w:p w14:paraId="795DD9B8" w14:textId="5A3993FE" w:rsidR="001F0962" w:rsidRPr="001F0962" w:rsidRDefault="001F0962" w:rsidP="003A119B">
      <w:pPr>
        <w:numPr>
          <w:ilvl w:val="1"/>
          <w:numId w:val="21"/>
        </w:numPr>
        <w:spacing w:after="0" w:line="240" w:lineRule="auto"/>
        <w:ind w:left="1658"/>
        <w:jc w:val="both"/>
        <w:rPr>
          <w:rFonts w:eastAsia="Times New Roman"/>
        </w:rPr>
      </w:pPr>
      <w:r w:rsidRPr="001F0962">
        <w:rPr>
          <w:rFonts w:eastAsia="Times New Roman"/>
        </w:rPr>
        <w:t>police Clearance certificate or affidavit of no criminal convictions;</w:t>
      </w:r>
    </w:p>
    <w:p w14:paraId="769427EF" w14:textId="6386591E" w:rsidR="001F0962" w:rsidRPr="001F0962" w:rsidRDefault="001F0962" w:rsidP="003A119B">
      <w:pPr>
        <w:numPr>
          <w:ilvl w:val="1"/>
          <w:numId w:val="21"/>
        </w:numPr>
        <w:spacing w:after="0" w:line="240" w:lineRule="auto"/>
        <w:ind w:left="1658"/>
        <w:jc w:val="both"/>
        <w:rPr>
          <w:rFonts w:eastAsia="Times New Roman"/>
        </w:rPr>
      </w:pPr>
      <w:r w:rsidRPr="001F0962">
        <w:rPr>
          <w:rFonts w:eastAsia="Times New Roman"/>
        </w:rPr>
        <w:t>a fully completed Personal Questionnaire;</w:t>
      </w:r>
    </w:p>
    <w:p w14:paraId="4B69B2D8" w14:textId="1C4C8F8A" w:rsidR="001F0962" w:rsidRPr="001F0962" w:rsidRDefault="001F0962" w:rsidP="003A119B">
      <w:pPr>
        <w:numPr>
          <w:ilvl w:val="1"/>
          <w:numId w:val="21"/>
        </w:numPr>
        <w:spacing w:after="0" w:line="240" w:lineRule="auto"/>
        <w:ind w:left="1658"/>
        <w:jc w:val="both"/>
        <w:rPr>
          <w:rFonts w:eastAsia="Times New Roman"/>
        </w:rPr>
      </w:pPr>
      <w:r w:rsidRPr="001F0962">
        <w:rPr>
          <w:rFonts w:eastAsia="Times New Roman"/>
        </w:rPr>
        <w:t>two character references;</w:t>
      </w:r>
    </w:p>
    <w:p w14:paraId="3D17640E" w14:textId="613137F6" w:rsidR="001F0962" w:rsidRPr="001F0962" w:rsidRDefault="001F0962" w:rsidP="003A119B">
      <w:pPr>
        <w:numPr>
          <w:ilvl w:val="1"/>
          <w:numId w:val="21"/>
        </w:numPr>
        <w:spacing w:after="0" w:line="240" w:lineRule="auto"/>
        <w:ind w:left="1658"/>
        <w:jc w:val="both"/>
        <w:rPr>
          <w:rFonts w:eastAsia="Times New Roman"/>
        </w:rPr>
      </w:pPr>
      <w:r w:rsidRPr="001F0962">
        <w:rPr>
          <w:rFonts w:eastAsia="Times New Roman"/>
        </w:rPr>
        <w:t>one financial reference;</w:t>
      </w:r>
    </w:p>
    <w:p w14:paraId="45662F53" w14:textId="77777777" w:rsidR="001F0962" w:rsidRPr="001F0962" w:rsidRDefault="001F0962" w:rsidP="003A119B">
      <w:pPr>
        <w:numPr>
          <w:ilvl w:val="1"/>
          <w:numId w:val="21"/>
        </w:numPr>
        <w:spacing w:after="0" w:line="240" w:lineRule="auto"/>
        <w:ind w:left="1658"/>
        <w:jc w:val="both"/>
        <w:rPr>
          <w:rFonts w:eastAsia="Times New Roman"/>
        </w:rPr>
      </w:pPr>
      <w:r w:rsidRPr="001F0962">
        <w:rPr>
          <w:rFonts w:eastAsia="Times New Roman"/>
        </w:rPr>
        <w:t>an updated and comprehensive curriculum vitae;</w:t>
      </w:r>
    </w:p>
    <w:p w14:paraId="7C324C81" w14:textId="77777777" w:rsidR="001F0962" w:rsidRPr="001F0962" w:rsidRDefault="001F0962" w:rsidP="003A119B">
      <w:pPr>
        <w:spacing w:after="0" w:line="240" w:lineRule="auto"/>
        <w:ind w:left="360"/>
        <w:jc w:val="both"/>
        <w:rPr>
          <w:rFonts w:eastAsia="Times New Roman"/>
        </w:rPr>
      </w:pPr>
    </w:p>
    <w:p w14:paraId="30ADEA66"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details of each Anti-Money Laundering Compliance Officer, Money Laundering Reporting Officer, and Deputy Money Laundering Reporting Officer;</w:t>
      </w:r>
    </w:p>
    <w:p w14:paraId="1B061683" w14:textId="77777777" w:rsidR="001F0962" w:rsidRPr="001F0962" w:rsidRDefault="001F0962" w:rsidP="003F5ABF">
      <w:pPr>
        <w:spacing w:after="0" w:line="240" w:lineRule="auto"/>
        <w:ind w:left="2094"/>
        <w:jc w:val="both"/>
        <w:rPr>
          <w:rFonts w:eastAsia="Times New Roman"/>
        </w:rPr>
      </w:pPr>
    </w:p>
    <w:p w14:paraId="539A4FB1" w14:textId="77777777" w:rsidR="001F0962" w:rsidRPr="001F0962" w:rsidRDefault="001F0962" w:rsidP="003F5ABF">
      <w:pPr>
        <w:numPr>
          <w:ilvl w:val="0"/>
          <w:numId w:val="120"/>
        </w:numPr>
        <w:spacing w:after="0" w:line="240" w:lineRule="auto"/>
        <w:ind w:left="1298"/>
        <w:jc w:val="both"/>
        <w:rPr>
          <w:rFonts w:eastAsia="Times New Roman"/>
        </w:rPr>
      </w:pPr>
      <w:r w:rsidRPr="001F0962">
        <w:rPr>
          <w:rFonts w:eastAsia="Times New Roman"/>
        </w:rPr>
        <w:t>if the service provider be issuing virtual assets, the entity shall complete an issuance request form and include it with this application.</w:t>
      </w:r>
    </w:p>
    <w:p w14:paraId="61F02AAA" w14:textId="77777777" w:rsidR="001F0962" w:rsidRPr="001F0962" w:rsidRDefault="001F0962" w:rsidP="003A119B">
      <w:pPr>
        <w:spacing w:after="0" w:line="240" w:lineRule="auto"/>
        <w:ind w:left="360"/>
        <w:jc w:val="both"/>
        <w:rPr>
          <w:rFonts w:eastAsia="Times New Roman"/>
          <w:lang w:val="en-SG"/>
        </w:rPr>
      </w:pPr>
    </w:p>
    <w:p w14:paraId="55A1B524" w14:textId="77777777" w:rsidR="001F0962" w:rsidRPr="001F0962" w:rsidRDefault="001F0962" w:rsidP="003A119B">
      <w:pPr>
        <w:spacing w:after="0" w:line="240" w:lineRule="auto"/>
        <w:ind w:left="360"/>
        <w:jc w:val="both"/>
        <w:rPr>
          <w:rFonts w:eastAsia="Times New Roman"/>
        </w:rPr>
      </w:pPr>
      <w:r w:rsidRPr="001F0962">
        <w:rPr>
          <w:rFonts w:eastAsia="Times New Roman"/>
        </w:rPr>
        <w:t xml:space="preserve">Apart from the VASP Act, entities offering virtual asset services in the Cayman Islands are obligated to adhere to Anti-Money Laundering, Countering the Financing of Terrorism, and Countering Proliferation Financing (AML/CFT/CPF) requirements, as well as sanctions obligations outlined in the AMLR and the CIMA’s Guidance Notes. </w:t>
      </w:r>
    </w:p>
    <w:p w14:paraId="37AF09CF" w14:textId="77777777" w:rsidR="001F0962" w:rsidRPr="001F0962" w:rsidRDefault="001F0962" w:rsidP="003A119B">
      <w:pPr>
        <w:spacing w:after="0" w:line="240" w:lineRule="auto"/>
        <w:ind w:left="360"/>
        <w:jc w:val="both"/>
        <w:rPr>
          <w:rFonts w:eastAsia="Times New Roman"/>
        </w:rPr>
      </w:pPr>
    </w:p>
    <w:p w14:paraId="7C2D8156" w14:textId="41519905" w:rsidR="00C94D89" w:rsidRPr="003A119B" w:rsidRDefault="001F0962" w:rsidP="003A119B">
      <w:pPr>
        <w:spacing w:after="0" w:line="240" w:lineRule="auto"/>
        <w:ind w:left="360"/>
        <w:jc w:val="both"/>
        <w:rPr>
          <w:rFonts w:eastAsia="Times New Roman"/>
        </w:rPr>
      </w:pPr>
      <w:r w:rsidRPr="001F0962">
        <w:rPr>
          <w:rFonts w:eastAsia="Times New Roman"/>
        </w:rPr>
        <w:t xml:space="preserve">Every application for registration requires a KYD 1,000 assessment fee, payable through the REEFS portal at the time of submitting the application. It should be noted that the assessment fee paid to the CIMA is non-refundable. Additionally, registrants are obliged to pay the application fee upon approval of their registration application as per the specifications provided by the CIMA. The table below provides for fee as required to be paid by applicant/approved entity as the case may be; </w:t>
      </w:r>
    </w:p>
    <w:p w14:paraId="229ECB86" w14:textId="77777777" w:rsidR="00C94D89" w:rsidRPr="003A119B" w:rsidRDefault="00C94D89" w:rsidP="003A119B">
      <w:pPr>
        <w:spacing w:after="0" w:line="240" w:lineRule="auto"/>
        <w:ind w:left="360"/>
        <w:jc w:val="both"/>
        <w:rPr>
          <w:rFonts w:eastAsia="Times New Roman"/>
        </w:rPr>
      </w:pPr>
    </w:p>
    <w:tbl>
      <w:tblPr>
        <w:tblStyle w:val="TableGrid"/>
        <w:tblW w:w="0" w:type="auto"/>
        <w:tblInd w:w="421" w:type="dxa"/>
        <w:tblLook w:val="04A0" w:firstRow="1" w:lastRow="0" w:firstColumn="1" w:lastColumn="0" w:noHBand="0" w:noVBand="1"/>
      </w:tblPr>
      <w:tblGrid>
        <w:gridCol w:w="5560"/>
        <w:gridCol w:w="1462"/>
        <w:gridCol w:w="1907"/>
      </w:tblGrid>
      <w:tr w:rsidR="00C94D89" w:rsidRPr="003A119B" w14:paraId="38A111A2" w14:textId="77777777" w:rsidTr="00C94D89">
        <w:tc>
          <w:tcPr>
            <w:tcW w:w="5560" w:type="dxa"/>
          </w:tcPr>
          <w:p w14:paraId="200A22F2" w14:textId="77777777" w:rsidR="00C94D89" w:rsidRPr="003A119B" w:rsidRDefault="00C94D89" w:rsidP="003A119B">
            <w:pPr>
              <w:spacing w:line="240" w:lineRule="auto"/>
              <w:contextualSpacing/>
              <w:jc w:val="center"/>
              <w:rPr>
                <w:rFonts w:cstheme="minorHAnsi"/>
                <w:b/>
              </w:rPr>
            </w:pPr>
            <w:r w:rsidRPr="003A119B">
              <w:rPr>
                <w:rFonts w:cstheme="minorHAnsi"/>
                <w:b/>
              </w:rPr>
              <w:t>Category</w:t>
            </w:r>
          </w:p>
        </w:tc>
        <w:tc>
          <w:tcPr>
            <w:tcW w:w="1462" w:type="dxa"/>
          </w:tcPr>
          <w:p w14:paraId="3FEB6519" w14:textId="77777777" w:rsidR="00C94D89" w:rsidRPr="003A119B" w:rsidRDefault="00C94D89" w:rsidP="003A119B">
            <w:pPr>
              <w:spacing w:line="240" w:lineRule="auto"/>
              <w:contextualSpacing/>
              <w:rPr>
                <w:rFonts w:cstheme="minorHAnsi"/>
                <w:b/>
              </w:rPr>
            </w:pPr>
            <w:r w:rsidRPr="003A119B">
              <w:rPr>
                <w:rFonts w:cstheme="minorHAnsi"/>
                <w:b/>
              </w:rPr>
              <w:t>Sections</w:t>
            </w:r>
          </w:p>
        </w:tc>
        <w:tc>
          <w:tcPr>
            <w:tcW w:w="1907" w:type="dxa"/>
          </w:tcPr>
          <w:p w14:paraId="449238FD" w14:textId="77777777" w:rsidR="00C94D89" w:rsidRPr="003A119B" w:rsidRDefault="00C94D89" w:rsidP="003A119B">
            <w:pPr>
              <w:spacing w:line="240" w:lineRule="auto"/>
              <w:contextualSpacing/>
              <w:rPr>
                <w:rFonts w:cstheme="minorHAnsi"/>
                <w:b/>
              </w:rPr>
            </w:pPr>
            <w:r w:rsidRPr="003A119B">
              <w:rPr>
                <w:rFonts w:cstheme="minorHAnsi"/>
                <w:b/>
              </w:rPr>
              <w:t>Fee (in KYD)</w:t>
            </w:r>
          </w:p>
        </w:tc>
      </w:tr>
      <w:tr w:rsidR="00C94D89" w:rsidRPr="003A119B" w14:paraId="0734A3A3" w14:textId="77777777" w:rsidTr="00C94D89">
        <w:tc>
          <w:tcPr>
            <w:tcW w:w="5560" w:type="dxa"/>
          </w:tcPr>
          <w:p w14:paraId="162E57E2" w14:textId="77777777" w:rsidR="00C94D89" w:rsidRPr="003A119B" w:rsidRDefault="00C94D89" w:rsidP="003A119B">
            <w:pPr>
              <w:spacing w:line="240" w:lineRule="auto"/>
              <w:contextualSpacing/>
              <w:rPr>
                <w:rFonts w:cstheme="minorHAnsi"/>
              </w:rPr>
            </w:pPr>
            <w:r w:rsidRPr="003A119B">
              <w:rPr>
                <w:rFonts w:cstheme="minorHAnsi"/>
              </w:rPr>
              <w:t>Assessment fee for registration (fee applies to all applications for registration)</w:t>
            </w:r>
          </w:p>
        </w:tc>
        <w:tc>
          <w:tcPr>
            <w:tcW w:w="1462" w:type="dxa"/>
          </w:tcPr>
          <w:p w14:paraId="0AEE3F63" w14:textId="77777777" w:rsidR="00C94D89" w:rsidRPr="003A119B" w:rsidRDefault="00C94D89" w:rsidP="003A119B">
            <w:pPr>
              <w:spacing w:line="240" w:lineRule="auto"/>
              <w:contextualSpacing/>
              <w:rPr>
                <w:rFonts w:cstheme="minorHAnsi"/>
              </w:rPr>
            </w:pPr>
            <w:r w:rsidRPr="003A119B">
              <w:rPr>
                <w:rFonts w:cstheme="minorHAnsi"/>
              </w:rPr>
              <w:t>6(1)</w:t>
            </w:r>
          </w:p>
        </w:tc>
        <w:tc>
          <w:tcPr>
            <w:tcW w:w="1907" w:type="dxa"/>
          </w:tcPr>
          <w:p w14:paraId="71027AF9" w14:textId="77777777" w:rsidR="00C94D89" w:rsidRPr="003A119B" w:rsidRDefault="00C94D89" w:rsidP="003A119B">
            <w:pPr>
              <w:spacing w:line="240" w:lineRule="auto"/>
              <w:contextualSpacing/>
              <w:rPr>
                <w:rFonts w:cstheme="minorHAnsi"/>
              </w:rPr>
            </w:pPr>
            <w:r w:rsidRPr="003A119B">
              <w:rPr>
                <w:rFonts w:cstheme="minorHAnsi"/>
              </w:rPr>
              <w:t>$1000</w:t>
            </w:r>
          </w:p>
        </w:tc>
      </w:tr>
      <w:tr w:rsidR="00C94D89" w:rsidRPr="003A119B" w14:paraId="078A0979" w14:textId="77777777" w:rsidTr="00C94D89">
        <w:tc>
          <w:tcPr>
            <w:tcW w:w="5560" w:type="dxa"/>
          </w:tcPr>
          <w:p w14:paraId="09765D64" w14:textId="77777777" w:rsidR="00C94D89" w:rsidRPr="003A119B" w:rsidRDefault="00C94D89" w:rsidP="003A119B">
            <w:pPr>
              <w:spacing w:line="240" w:lineRule="auto"/>
              <w:contextualSpacing/>
              <w:rPr>
                <w:rFonts w:cstheme="minorHAnsi"/>
              </w:rPr>
            </w:pPr>
            <w:r w:rsidRPr="003A119B">
              <w:rPr>
                <w:rFonts w:cstheme="minorHAnsi"/>
              </w:rPr>
              <w:t>Application fee for registration of an existing licensee or person already registered under another regulatory Law</w:t>
            </w:r>
          </w:p>
        </w:tc>
        <w:tc>
          <w:tcPr>
            <w:tcW w:w="1462" w:type="dxa"/>
          </w:tcPr>
          <w:p w14:paraId="1CE96925" w14:textId="77777777" w:rsidR="00C94D89" w:rsidRPr="003A119B" w:rsidRDefault="00C94D89" w:rsidP="003A119B">
            <w:pPr>
              <w:spacing w:line="240" w:lineRule="auto"/>
              <w:contextualSpacing/>
              <w:rPr>
                <w:rFonts w:cstheme="minorHAnsi"/>
              </w:rPr>
            </w:pPr>
            <w:r w:rsidRPr="003A119B">
              <w:rPr>
                <w:rFonts w:cstheme="minorHAnsi"/>
              </w:rPr>
              <w:t>5(2)</w:t>
            </w:r>
          </w:p>
        </w:tc>
        <w:tc>
          <w:tcPr>
            <w:tcW w:w="1907" w:type="dxa"/>
          </w:tcPr>
          <w:p w14:paraId="4173838A" w14:textId="77777777" w:rsidR="00C94D89" w:rsidRPr="003A119B" w:rsidRDefault="00C94D89" w:rsidP="003A119B">
            <w:pPr>
              <w:spacing w:line="240" w:lineRule="auto"/>
              <w:contextualSpacing/>
              <w:rPr>
                <w:rFonts w:cstheme="minorHAnsi"/>
              </w:rPr>
            </w:pPr>
            <w:r w:rsidRPr="003A119B">
              <w:rPr>
                <w:rFonts w:cstheme="minorHAnsi"/>
              </w:rPr>
              <w:t>$1,000</w:t>
            </w:r>
          </w:p>
        </w:tc>
      </w:tr>
    </w:tbl>
    <w:p w14:paraId="559A0D3F" w14:textId="77777777" w:rsidR="00C94D89" w:rsidRPr="003A119B" w:rsidRDefault="00C94D89" w:rsidP="003A119B">
      <w:pPr>
        <w:spacing w:after="0" w:line="240" w:lineRule="auto"/>
        <w:ind w:left="720"/>
        <w:contextualSpacing/>
        <w:rPr>
          <w:rFonts w:cstheme="minorHAnsi"/>
          <w:kern w:val="2"/>
        </w:rPr>
      </w:pPr>
    </w:p>
    <w:tbl>
      <w:tblPr>
        <w:tblStyle w:val="TableGrid"/>
        <w:tblW w:w="0" w:type="auto"/>
        <w:tblInd w:w="421" w:type="dxa"/>
        <w:tblLook w:val="04A0" w:firstRow="1" w:lastRow="0" w:firstColumn="1" w:lastColumn="0" w:noHBand="0" w:noVBand="1"/>
      </w:tblPr>
      <w:tblGrid>
        <w:gridCol w:w="2571"/>
        <w:gridCol w:w="2166"/>
        <w:gridCol w:w="2185"/>
        <w:gridCol w:w="2007"/>
      </w:tblGrid>
      <w:tr w:rsidR="00C94D89" w:rsidRPr="003A119B" w14:paraId="2893F23C" w14:textId="77777777" w:rsidTr="00C94D89">
        <w:tc>
          <w:tcPr>
            <w:tcW w:w="2571" w:type="dxa"/>
          </w:tcPr>
          <w:p w14:paraId="11FAFCC3"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Category of VASP</w:t>
            </w:r>
          </w:p>
        </w:tc>
        <w:tc>
          <w:tcPr>
            <w:tcW w:w="2166" w:type="dxa"/>
          </w:tcPr>
          <w:p w14:paraId="64BF7444"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 xml:space="preserve">Amount Raised/ Revenue generated </w:t>
            </w:r>
          </w:p>
        </w:tc>
        <w:tc>
          <w:tcPr>
            <w:tcW w:w="2185" w:type="dxa"/>
          </w:tcPr>
          <w:p w14:paraId="1FDC5415"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 xml:space="preserve">Category </w:t>
            </w:r>
          </w:p>
        </w:tc>
        <w:tc>
          <w:tcPr>
            <w:tcW w:w="2007" w:type="dxa"/>
          </w:tcPr>
          <w:p w14:paraId="62927B60"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 xml:space="preserve">Fee </w:t>
            </w:r>
            <w:r w:rsidRPr="003A119B">
              <w:rPr>
                <w:rFonts w:cstheme="minorHAnsi"/>
                <w:b/>
              </w:rPr>
              <w:t>(in KYD)</w:t>
            </w:r>
            <w:r w:rsidRPr="003A119B">
              <w:rPr>
                <w:rFonts w:cstheme="minorHAnsi"/>
                <w:b/>
                <w:lang w:val="en-SG"/>
              </w:rPr>
              <w:t xml:space="preserve"> </w:t>
            </w:r>
          </w:p>
        </w:tc>
      </w:tr>
      <w:tr w:rsidR="00C94D89" w:rsidRPr="003A119B" w14:paraId="578A4E48" w14:textId="77777777" w:rsidTr="00C94D89">
        <w:tc>
          <w:tcPr>
            <w:tcW w:w="2571" w:type="dxa"/>
          </w:tcPr>
          <w:p w14:paraId="4EC0B1E6" w14:textId="77777777" w:rsidR="00C94D89" w:rsidRPr="003A119B" w:rsidRDefault="00C94D89" w:rsidP="003A119B">
            <w:pPr>
              <w:spacing w:line="240" w:lineRule="auto"/>
              <w:contextualSpacing/>
              <w:rPr>
                <w:rFonts w:cstheme="minorHAnsi"/>
                <w:lang w:val="en-SG"/>
              </w:rPr>
            </w:pPr>
            <w:r w:rsidRPr="003A119B">
              <w:rPr>
                <w:rFonts w:cstheme="minorHAnsi"/>
                <w:lang w:val="en-SG"/>
              </w:rPr>
              <w:t>VASP engaging in issuance of virtual assets only</w:t>
            </w:r>
          </w:p>
        </w:tc>
        <w:tc>
          <w:tcPr>
            <w:tcW w:w="2166" w:type="dxa"/>
          </w:tcPr>
          <w:p w14:paraId="5175B70B" w14:textId="77777777" w:rsidR="00C94D89" w:rsidRPr="003A119B" w:rsidRDefault="00C94D89" w:rsidP="003A119B">
            <w:pPr>
              <w:spacing w:line="240" w:lineRule="auto"/>
              <w:contextualSpacing/>
              <w:rPr>
                <w:rFonts w:cstheme="minorHAnsi"/>
                <w:lang w:val="en-SG"/>
              </w:rPr>
            </w:pPr>
          </w:p>
        </w:tc>
        <w:tc>
          <w:tcPr>
            <w:tcW w:w="2185" w:type="dxa"/>
          </w:tcPr>
          <w:p w14:paraId="2BFC0FD1" w14:textId="77777777" w:rsidR="00C94D89" w:rsidRPr="003A119B" w:rsidRDefault="00C94D89" w:rsidP="003A119B">
            <w:pPr>
              <w:spacing w:line="240" w:lineRule="auto"/>
              <w:contextualSpacing/>
              <w:rPr>
                <w:rFonts w:cstheme="minorHAnsi"/>
                <w:lang w:val="en-SG"/>
              </w:rPr>
            </w:pPr>
          </w:p>
        </w:tc>
        <w:tc>
          <w:tcPr>
            <w:tcW w:w="2007" w:type="dxa"/>
          </w:tcPr>
          <w:p w14:paraId="7FF79133" w14:textId="77777777" w:rsidR="00C94D89" w:rsidRPr="003A119B" w:rsidRDefault="00C94D89" w:rsidP="003A119B">
            <w:pPr>
              <w:spacing w:line="240" w:lineRule="auto"/>
              <w:contextualSpacing/>
              <w:rPr>
                <w:rFonts w:cstheme="minorHAnsi"/>
                <w:lang w:val="en-SG"/>
              </w:rPr>
            </w:pPr>
          </w:p>
        </w:tc>
      </w:tr>
      <w:tr w:rsidR="00C94D89" w:rsidRPr="003A119B" w14:paraId="08C9D04E" w14:textId="77777777" w:rsidTr="00C94D89">
        <w:tc>
          <w:tcPr>
            <w:tcW w:w="2571" w:type="dxa"/>
          </w:tcPr>
          <w:p w14:paraId="6FEA0AA0" w14:textId="77777777" w:rsidR="00C94D89" w:rsidRPr="003A119B" w:rsidRDefault="00C94D89" w:rsidP="003A119B">
            <w:pPr>
              <w:spacing w:line="240" w:lineRule="auto"/>
              <w:contextualSpacing/>
              <w:rPr>
                <w:rFonts w:cstheme="minorHAnsi"/>
                <w:lang w:val="en-SG"/>
              </w:rPr>
            </w:pPr>
          </w:p>
        </w:tc>
        <w:tc>
          <w:tcPr>
            <w:tcW w:w="2166" w:type="dxa"/>
          </w:tcPr>
          <w:p w14:paraId="00A6A09A" w14:textId="77777777" w:rsidR="00C94D89" w:rsidRPr="003A119B" w:rsidRDefault="00C94D89" w:rsidP="003A119B">
            <w:pPr>
              <w:spacing w:line="240" w:lineRule="auto"/>
              <w:contextualSpacing/>
              <w:rPr>
                <w:rFonts w:cstheme="minorHAnsi"/>
                <w:lang w:val="en-SG"/>
              </w:rPr>
            </w:pPr>
            <w:r w:rsidRPr="003A119B">
              <w:rPr>
                <w:rFonts w:cstheme="minorHAnsi"/>
                <w:lang w:val="en-SG"/>
              </w:rPr>
              <w:t>Not exceeding one million dollars</w:t>
            </w:r>
          </w:p>
        </w:tc>
        <w:tc>
          <w:tcPr>
            <w:tcW w:w="2185" w:type="dxa"/>
          </w:tcPr>
          <w:p w14:paraId="136BECD2"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Issuance of not convertible virtual assets through exchanges </w:t>
            </w:r>
          </w:p>
        </w:tc>
        <w:tc>
          <w:tcPr>
            <w:tcW w:w="2007" w:type="dxa"/>
          </w:tcPr>
          <w:p w14:paraId="2E68E299" w14:textId="77777777" w:rsidR="00C94D89" w:rsidRPr="003A119B" w:rsidRDefault="00C94D89" w:rsidP="003A119B">
            <w:pPr>
              <w:spacing w:line="240" w:lineRule="auto"/>
              <w:contextualSpacing/>
              <w:rPr>
                <w:rFonts w:cstheme="minorHAnsi"/>
                <w:lang w:val="en-SG"/>
              </w:rPr>
            </w:pPr>
            <w:r w:rsidRPr="003A119B">
              <w:rPr>
                <w:rFonts w:cstheme="minorHAnsi"/>
                <w:lang w:val="en-SG"/>
              </w:rPr>
              <w:t>$1,500</w:t>
            </w:r>
          </w:p>
        </w:tc>
      </w:tr>
      <w:tr w:rsidR="00C94D89" w:rsidRPr="003A119B" w14:paraId="7D1172CF" w14:textId="77777777" w:rsidTr="00C94D89">
        <w:tc>
          <w:tcPr>
            <w:tcW w:w="2571" w:type="dxa"/>
          </w:tcPr>
          <w:p w14:paraId="4148EB75" w14:textId="77777777" w:rsidR="00C94D89" w:rsidRPr="003A119B" w:rsidRDefault="00C94D89" w:rsidP="003A119B">
            <w:pPr>
              <w:spacing w:line="240" w:lineRule="auto"/>
              <w:contextualSpacing/>
              <w:rPr>
                <w:rFonts w:cstheme="minorHAnsi"/>
                <w:lang w:val="en-SG"/>
              </w:rPr>
            </w:pPr>
          </w:p>
        </w:tc>
        <w:tc>
          <w:tcPr>
            <w:tcW w:w="2166" w:type="dxa"/>
          </w:tcPr>
          <w:p w14:paraId="257DC2A8" w14:textId="77777777" w:rsidR="00C94D89" w:rsidRPr="003A119B" w:rsidRDefault="00C94D89" w:rsidP="003A119B">
            <w:pPr>
              <w:spacing w:line="240" w:lineRule="auto"/>
              <w:contextualSpacing/>
              <w:rPr>
                <w:rFonts w:cstheme="minorHAnsi"/>
                <w:lang w:val="en-SG"/>
              </w:rPr>
            </w:pPr>
            <w:r w:rsidRPr="003A119B">
              <w:rPr>
                <w:rFonts w:cstheme="minorHAnsi"/>
                <w:lang w:val="en-SG"/>
              </w:rPr>
              <w:t>Not exceeding one million dollars</w:t>
            </w:r>
          </w:p>
        </w:tc>
        <w:tc>
          <w:tcPr>
            <w:tcW w:w="2185" w:type="dxa"/>
          </w:tcPr>
          <w:p w14:paraId="64A16C6A"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not convertible virtual assets directly to the public</w:t>
            </w:r>
          </w:p>
        </w:tc>
        <w:tc>
          <w:tcPr>
            <w:tcW w:w="2007" w:type="dxa"/>
          </w:tcPr>
          <w:p w14:paraId="1FC8FFFE" w14:textId="77777777" w:rsidR="00C94D89" w:rsidRPr="003A119B" w:rsidRDefault="00C94D89" w:rsidP="003A119B">
            <w:pPr>
              <w:spacing w:line="240" w:lineRule="auto"/>
              <w:contextualSpacing/>
              <w:rPr>
                <w:rFonts w:cstheme="minorHAnsi"/>
                <w:lang w:val="en-SG"/>
              </w:rPr>
            </w:pPr>
            <w:r w:rsidRPr="003A119B">
              <w:rPr>
                <w:rFonts w:cstheme="minorHAnsi"/>
                <w:lang w:val="en-SG"/>
              </w:rPr>
              <w:t>$2,500</w:t>
            </w:r>
          </w:p>
        </w:tc>
      </w:tr>
      <w:tr w:rsidR="00C94D89" w:rsidRPr="003A119B" w14:paraId="100978E6" w14:textId="77777777" w:rsidTr="00C94D89">
        <w:tc>
          <w:tcPr>
            <w:tcW w:w="2571" w:type="dxa"/>
          </w:tcPr>
          <w:p w14:paraId="216E709A" w14:textId="77777777" w:rsidR="00C94D89" w:rsidRPr="003A119B" w:rsidRDefault="00C94D89" w:rsidP="003A119B">
            <w:pPr>
              <w:spacing w:line="240" w:lineRule="auto"/>
              <w:contextualSpacing/>
              <w:rPr>
                <w:rFonts w:cstheme="minorHAnsi"/>
                <w:lang w:val="en-SG"/>
              </w:rPr>
            </w:pPr>
          </w:p>
        </w:tc>
        <w:tc>
          <w:tcPr>
            <w:tcW w:w="2166" w:type="dxa"/>
          </w:tcPr>
          <w:p w14:paraId="24E29219" w14:textId="77777777" w:rsidR="00C94D89" w:rsidRPr="003A119B" w:rsidRDefault="00C94D89" w:rsidP="003A119B">
            <w:pPr>
              <w:spacing w:line="240" w:lineRule="auto"/>
              <w:contextualSpacing/>
              <w:rPr>
                <w:rFonts w:cstheme="minorHAnsi"/>
                <w:lang w:val="en-SG"/>
              </w:rPr>
            </w:pPr>
            <w:r w:rsidRPr="003A119B">
              <w:rPr>
                <w:rFonts w:cstheme="minorHAnsi"/>
                <w:lang w:val="en-SG"/>
              </w:rPr>
              <w:t>Not exceeding one million dollars</w:t>
            </w:r>
          </w:p>
        </w:tc>
        <w:tc>
          <w:tcPr>
            <w:tcW w:w="2185" w:type="dxa"/>
          </w:tcPr>
          <w:p w14:paraId="230B8DDE"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convertible virtual assets</w:t>
            </w:r>
          </w:p>
        </w:tc>
        <w:tc>
          <w:tcPr>
            <w:tcW w:w="2007" w:type="dxa"/>
          </w:tcPr>
          <w:p w14:paraId="0D4E4DC0" w14:textId="77777777" w:rsidR="00C94D89" w:rsidRPr="003A119B" w:rsidRDefault="00C94D89" w:rsidP="003A119B">
            <w:pPr>
              <w:spacing w:line="240" w:lineRule="auto"/>
              <w:contextualSpacing/>
              <w:rPr>
                <w:rFonts w:cstheme="minorHAnsi"/>
                <w:lang w:val="en-SG"/>
              </w:rPr>
            </w:pPr>
            <w:r w:rsidRPr="003A119B">
              <w:rPr>
                <w:rFonts w:cstheme="minorHAnsi"/>
                <w:lang w:val="en-SG"/>
              </w:rPr>
              <w:t>$2,500 - $5,000</w:t>
            </w:r>
          </w:p>
        </w:tc>
      </w:tr>
      <w:tr w:rsidR="00C94D89" w:rsidRPr="003A119B" w14:paraId="2EF68F60" w14:textId="77777777" w:rsidTr="00C94D89">
        <w:tc>
          <w:tcPr>
            <w:tcW w:w="2571" w:type="dxa"/>
          </w:tcPr>
          <w:p w14:paraId="566FC13B" w14:textId="77777777" w:rsidR="00C94D89" w:rsidRPr="003A119B" w:rsidRDefault="00C94D89" w:rsidP="003A119B">
            <w:pPr>
              <w:spacing w:line="240" w:lineRule="auto"/>
              <w:contextualSpacing/>
              <w:rPr>
                <w:rFonts w:cstheme="minorHAnsi"/>
                <w:lang w:val="en-SG"/>
              </w:rPr>
            </w:pPr>
          </w:p>
        </w:tc>
        <w:tc>
          <w:tcPr>
            <w:tcW w:w="2166" w:type="dxa"/>
          </w:tcPr>
          <w:p w14:paraId="1854DEAF" w14:textId="77777777" w:rsidR="00C94D89" w:rsidRPr="003A119B" w:rsidRDefault="00C94D89" w:rsidP="003A119B">
            <w:pPr>
              <w:spacing w:line="240" w:lineRule="auto"/>
              <w:contextualSpacing/>
              <w:rPr>
                <w:rFonts w:cstheme="minorHAnsi"/>
                <w:lang w:val="en-SG"/>
              </w:rPr>
            </w:pPr>
            <w:r w:rsidRPr="003A119B">
              <w:rPr>
                <w:rFonts w:cstheme="minorHAnsi"/>
                <w:lang w:val="en-SG"/>
              </w:rPr>
              <w:t>Exceeding one million dollars</w:t>
            </w:r>
          </w:p>
        </w:tc>
        <w:tc>
          <w:tcPr>
            <w:tcW w:w="2185" w:type="dxa"/>
          </w:tcPr>
          <w:p w14:paraId="0AEFA8C8"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Issuance of not convertible virtual assets through exchanges </w:t>
            </w:r>
          </w:p>
        </w:tc>
        <w:tc>
          <w:tcPr>
            <w:tcW w:w="2007" w:type="dxa"/>
          </w:tcPr>
          <w:p w14:paraId="272AC5E4" w14:textId="77777777" w:rsidR="00C94D89" w:rsidRPr="003A119B" w:rsidRDefault="00C94D89" w:rsidP="003A119B">
            <w:pPr>
              <w:spacing w:line="240" w:lineRule="auto"/>
              <w:contextualSpacing/>
              <w:rPr>
                <w:rFonts w:cstheme="minorHAnsi"/>
                <w:lang w:val="en-SG"/>
              </w:rPr>
            </w:pPr>
            <w:r w:rsidRPr="003A119B">
              <w:rPr>
                <w:rFonts w:cstheme="minorHAnsi"/>
                <w:lang w:val="en-SG"/>
              </w:rPr>
              <w:t>$ 3,500</w:t>
            </w:r>
          </w:p>
        </w:tc>
      </w:tr>
      <w:tr w:rsidR="00C94D89" w:rsidRPr="003A119B" w14:paraId="513A242C" w14:textId="77777777" w:rsidTr="00C94D89">
        <w:tc>
          <w:tcPr>
            <w:tcW w:w="2571" w:type="dxa"/>
          </w:tcPr>
          <w:p w14:paraId="43E71DA8" w14:textId="77777777" w:rsidR="00C94D89" w:rsidRPr="003A119B" w:rsidRDefault="00C94D89" w:rsidP="003A119B">
            <w:pPr>
              <w:spacing w:line="240" w:lineRule="auto"/>
              <w:contextualSpacing/>
              <w:rPr>
                <w:rFonts w:cstheme="minorHAnsi"/>
                <w:lang w:val="en-SG"/>
              </w:rPr>
            </w:pPr>
          </w:p>
        </w:tc>
        <w:tc>
          <w:tcPr>
            <w:tcW w:w="2166" w:type="dxa"/>
          </w:tcPr>
          <w:p w14:paraId="14699053" w14:textId="77777777" w:rsidR="00C94D89" w:rsidRPr="003A119B" w:rsidRDefault="00C94D89" w:rsidP="003A119B">
            <w:pPr>
              <w:spacing w:line="240" w:lineRule="auto"/>
              <w:contextualSpacing/>
              <w:rPr>
                <w:rFonts w:cstheme="minorHAnsi"/>
                <w:lang w:val="en-SG"/>
              </w:rPr>
            </w:pPr>
            <w:r w:rsidRPr="003A119B">
              <w:rPr>
                <w:rFonts w:cstheme="minorHAnsi"/>
                <w:lang w:val="en-SG"/>
              </w:rPr>
              <w:t>Exceeding one million dollars</w:t>
            </w:r>
          </w:p>
        </w:tc>
        <w:tc>
          <w:tcPr>
            <w:tcW w:w="2185" w:type="dxa"/>
          </w:tcPr>
          <w:p w14:paraId="30D26EE9"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not convertible virtual assets directly to the public</w:t>
            </w:r>
          </w:p>
        </w:tc>
        <w:tc>
          <w:tcPr>
            <w:tcW w:w="2007" w:type="dxa"/>
          </w:tcPr>
          <w:p w14:paraId="13F5A150" w14:textId="77777777" w:rsidR="00C94D89" w:rsidRPr="003A119B" w:rsidRDefault="00C94D89" w:rsidP="003A119B">
            <w:pPr>
              <w:spacing w:line="240" w:lineRule="auto"/>
              <w:contextualSpacing/>
              <w:rPr>
                <w:rFonts w:cstheme="minorHAnsi"/>
                <w:lang w:val="en-SG"/>
              </w:rPr>
            </w:pPr>
            <w:r w:rsidRPr="003A119B">
              <w:rPr>
                <w:rFonts w:cstheme="minorHAnsi"/>
                <w:lang w:val="en-SG"/>
              </w:rPr>
              <w:t>$5,000</w:t>
            </w:r>
          </w:p>
        </w:tc>
      </w:tr>
      <w:tr w:rsidR="00C94D89" w:rsidRPr="003A119B" w14:paraId="6D86CA74" w14:textId="77777777" w:rsidTr="00C94D89">
        <w:tc>
          <w:tcPr>
            <w:tcW w:w="2571" w:type="dxa"/>
          </w:tcPr>
          <w:p w14:paraId="3E8A88F9" w14:textId="77777777" w:rsidR="00C94D89" w:rsidRPr="003A119B" w:rsidRDefault="00C94D89" w:rsidP="003A119B">
            <w:pPr>
              <w:spacing w:line="240" w:lineRule="auto"/>
              <w:contextualSpacing/>
              <w:rPr>
                <w:rFonts w:cstheme="minorHAnsi"/>
                <w:lang w:val="en-SG"/>
              </w:rPr>
            </w:pPr>
          </w:p>
        </w:tc>
        <w:tc>
          <w:tcPr>
            <w:tcW w:w="2166" w:type="dxa"/>
          </w:tcPr>
          <w:p w14:paraId="63B57BE4" w14:textId="77777777" w:rsidR="00C94D89" w:rsidRPr="003A119B" w:rsidRDefault="00C94D89" w:rsidP="003A119B">
            <w:pPr>
              <w:spacing w:line="240" w:lineRule="auto"/>
              <w:contextualSpacing/>
              <w:rPr>
                <w:rFonts w:cstheme="minorHAnsi"/>
                <w:lang w:val="en-SG"/>
              </w:rPr>
            </w:pPr>
            <w:r w:rsidRPr="003A119B">
              <w:rPr>
                <w:rFonts w:cstheme="minorHAnsi"/>
                <w:lang w:val="en-SG"/>
              </w:rPr>
              <w:t>Exceeding one million dollars</w:t>
            </w:r>
          </w:p>
        </w:tc>
        <w:tc>
          <w:tcPr>
            <w:tcW w:w="2185" w:type="dxa"/>
          </w:tcPr>
          <w:p w14:paraId="445EC5F3"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convertible virtual assets</w:t>
            </w:r>
          </w:p>
        </w:tc>
        <w:tc>
          <w:tcPr>
            <w:tcW w:w="2007" w:type="dxa"/>
          </w:tcPr>
          <w:p w14:paraId="02DCD93E" w14:textId="77777777" w:rsidR="00C94D89" w:rsidRPr="003A119B" w:rsidRDefault="00C94D89" w:rsidP="003A119B">
            <w:pPr>
              <w:spacing w:line="240" w:lineRule="auto"/>
              <w:contextualSpacing/>
              <w:rPr>
                <w:rFonts w:cstheme="minorHAnsi"/>
                <w:lang w:val="en-SG"/>
              </w:rPr>
            </w:pPr>
            <w:r w:rsidRPr="003A119B">
              <w:rPr>
                <w:rFonts w:cstheme="minorHAnsi"/>
                <w:lang w:val="en-SG"/>
              </w:rPr>
              <w:t>$5,000 - $10,000</w:t>
            </w:r>
          </w:p>
        </w:tc>
      </w:tr>
      <w:tr w:rsidR="00C94D89" w:rsidRPr="003A119B" w14:paraId="6A67FF1F" w14:textId="77777777" w:rsidTr="00C94D89">
        <w:tc>
          <w:tcPr>
            <w:tcW w:w="2571" w:type="dxa"/>
          </w:tcPr>
          <w:p w14:paraId="6711C76A" w14:textId="77777777" w:rsidR="00C94D89" w:rsidRPr="003A119B" w:rsidRDefault="00C94D89" w:rsidP="003A119B">
            <w:pPr>
              <w:spacing w:line="240" w:lineRule="auto"/>
              <w:contextualSpacing/>
              <w:rPr>
                <w:rFonts w:cstheme="minorHAnsi"/>
                <w:lang w:val="en-SG"/>
              </w:rPr>
            </w:pPr>
            <w:r w:rsidRPr="003A119B">
              <w:rPr>
                <w:rFonts w:cstheme="minorHAnsi"/>
                <w:lang w:val="en-SG"/>
              </w:rPr>
              <w:t>VASP providing virtual asset services not including issuance services</w:t>
            </w:r>
          </w:p>
        </w:tc>
        <w:tc>
          <w:tcPr>
            <w:tcW w:w="2166" w:type="dxa"/>
          </w:tcPr>
          <w:p w14:paraId="301C276B" w14:textId="77777777" w:rsidR="00C94D89" w:rsidRPr="003A119B" w:rsidRDefault="00C94D89" w:rsidP="003A119B">
            <w:pPr>
              <w:spacing w:line="240" w:lineRule="auto"/>
              <w:contextualSpacing/>
              <w:rPr>
                <w:rFonts w:cstheme="minorHAnsi"/>
                <w:lang w:val="en-SG"/>
              </w:rPr>
            </w:pPr>
          </w:p>
        </w:tc>
        <w:tc>
          <w:tcPr>
            <w:tcW w:w="2185" w:type="dxa"/>
          </w:tcPr>
          <w:p w14:paraId="4320FBA7" w14:textId="77777777" w:rsidR="00C94D89" w:rsidRPr="003A119B" w:rsidRDefault="00C94D89" w:rsidP="003A119B">
            <w:pPr>
              <w:spacing w:line="240" w:lineRule="auto"/>
              <w:contextualSpacing/>
              <w:rPr>
                <w:rFonts w:cstheme="minorHAnsi"/>
                <w:lang w:val="en-SG"/>
              </w:rPr>
            </w:pPr>
          </w:p>
        </w:tc>
        <w:tc>
          <w:tcPr>
            <w:tcW w:w="2007" w:type="dxa"/>
          </w:tcPr>
          <w:p w14:paraId="63630FF4" w14:textId="77777777" w:rsidR="00C94D89" w:rsidRPr="003A119B" w:rsidRDefault="00C94D89" w:rsidP="003A119B">
            <w:pPr>
              <w:spacing w:line="240" w:lineRule="auto"/>
              <w:contextualSpacing/>
              <w:rPr>
                <w:rFonts w:cstheme="minorHAnsi"/>
                <w:lang w:val="en-SG"/>
              </w:rPr>
            </w:pPr>
          </w:p>
        </w:tc>
      </w:tr>
      <w:tr w:rsidR="00C94D89" w:rsidRPr="003A119B" w14:paraId="661FACDE" w14:textId="77777777" w:rsidTr="00C94D89">
        <w:tc>
          <w:tcPr>
            <w:tcW w:w="2571" w:type="dxa"/>
          </w:tcPr>
          <w:p w14:paraId="32B32F4A" w14:textId="77777777" w:rsidR="00C94D89" w:rsidRPr="003A119B" w:rsidRDefault="00C94D89" w:rsidP="003A119B">
            <w:pPr>
              <w:spacing w:line="240" w:lineRule="auto"/>
              <w:contextualSpacing/>
              <w:rPr>
                <w:rFonts w:cstheme="minorHAnsi"/>
                <w:lang w:val="en-SG"/>
              </w:rPr>
            </w:pPr>
          </w:p>
        </w:tc>
        <w:tc>
          <w:tcPr>
            <w:tcW w:w="2166" w:type="dxa"/>
          </w:tcPr>
          <w:p w14:paraId="1F29FA5C"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not exceeding five hundred thousand dollars</w:t>
            </w:r>
          </w:p>
        </w:tc>
        <w:tc>
          <w:tcPr>
            <w:tcW w:w="2185" w:type="dxa"/>
          </w:tcPr>
          <w:p w14:paraId="2876520C"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Virtual asset services offered to persons within the islands </w:t>
            </w:r>
          </w:p>
        </w:tc>
        <w:tc>
          <w:tcPr>
            <w:tcW w:w="2007" w:type="dxa"/>
          </w:tcPr>
          <w:p w14:paraId="5E3659CB" w14:textId="77777777" w:rsidR="00C94D89" w:rsidRPr="003A119B" w:rsidRDefault="00C94D89" w:rsidP="003A119B">
            <w:pPr>
              <w:spacing w:line="240" w:lineRule="auto"/>
              <w:contextualSpacing/>
              <w:rPr>
                <w:rFonts w:cstheme="minorHAnsi"/>
                <w:lang w:val="en-SG"/>
              </w:rPr>
            </w:pPr>
            <w:r w:rsidRPr="003A119B">
              <w:rPr>
                <w:rFonts w:cstheme="minorHAnsi"/>
                <w:lang w:val="en-SG"/>
              </w:rPr>
              <w:t>$1,000 - $1,500</w:t>
            </w:r>
          </w:p>
        </w:tc>
      </w:tr>
      <w:tr w:rsidR="00C94D89" w:rsidRPr="003A119B" w14:paraId="478FFF0B" w14:textId="77777777" w:rsidTr="00C94D89">
        <w:tc>
          <w:tcPr>
            <w:tcW w:w="2571" w:type="dxa"/>
          </w:tcPr>
          <w:p w14:paraId="68379E9B" w14:textId="77777777" w:rsidR="00C94D89" w:rsidRPr="003A119B" w:rsidRDefault="00C94D89" w:rsidP="003A119B">
            <w:pPr>
              <w:spacing w:line="240" w:lineRule="auto"/>
              <w:contextualSpacing/>
              <w:rPr>
                <w:rFonts w:cstheme="minorHAnsi"/>
                <w:lang w:val="en-SG"/>
              </w:rPr>
            </w:pPr>
          </w:p>
        </w:tc>
        <w:tc>
          <w:tcPr>
            <w:tcW w:w="2166" w:type="dxa"/>
          </w:tcPr>
          <w:p w14:paraId="38CC97F8"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not exceeding five hundred thousand dollars</w:t>
            </w:r>
          </w:p>
        </w:tc>
        <w:tc>
          <w:tcPr>
            <w:tcW w:w="2185" w:type="dxa"/>
          </w:tcPr>
          <w:p w14:paraId="1BEEE202" w14:textId="77777777" w:rsidR="00C94D89" w:rsidRPr="003A119B" w:rsidRDefault="00C94D89" w:rsidP="003A119B">
            <w:pPr>
              <w:spacing w:line="240" w:lineRule="auto"/>
              <w:contextualSpacing/>
              <w:rPr>
                <w:rFonts w:cstheme="minorHAnsi"/>
                <w:lang w:val="en-SG"/>
              </w:rPr>
            </w:pPr>
            <w:r w:rsidRPr="003A119B">
              <w:rPr>
                <w:rFonts w:cstheme="minorHAnsi"/>
                <w:lang w:val="en-SG"/>
              </w:rPr>
              <w:t>Virtual asset services offered to persons outside of the islands</w:t>
            </w:r>
          </w:p>
        </w:tc>
        <w:tc>
          <w:tcPr>
            <w:tcW w:w="2007" w:type="dxa"/>
          </w:tcPr>
          <w:p w14:paraId="36612332" w14:textId="77777777" w:rsidR="00C94D89" w:rsidRPr="003A119B" w:rsidRDefault="00C94D89" w:rsidP="003A119B">
            <w:pPr>
              <w:spacing w:line="240" w:lineRule="auto"/>
              <w:contextualSpacing/>
              <w:rPr>
                <w:rFonts w:cstheme="minorHAnsi"/>
                <w:lang w:val="en-SG"/>
              </w:rPr>
            </w:pPr>
            <w:r w:rsidRPr="003A119B">
              <w:rPr>
                <w:rFonts w:cstheme="minorHAnsi"/>
                <w:lang w:val="en-SG"/>
              </w:rPr>
              <w:t>$2,500 - $5,000</w:t>
            </w:r>
          </w:p>
        </w:tc>
      </w:tr>
      <w:tr w:rsidR="00C94D89" w:rsidRPr="003A119B" w14:paraId="1F56EA03" w14:textId="77777777" w:rsidTr="00C94D89">
        <w:tc>
          <w:tcPr>
            <w:tcW w:w="2571" w:type="dxa"/>
          </w:tcPr>
          <w:p w14:paraId="7A382694" w14:textId="77777777" w:rsidR="00C94D89" w:rsidRPr="003A119B" w:rsidRDefault="00C94D89" w:rsidP="003A119B">
            <w:pPr>
              <w:spacing w:line="240" w:lineRule="auto"/>
              <w:contextualSpacing/>
              <w:rPr>
                <w:rFonts w:cstheme="minorHAnsi"/>
                <w:lang w:val="en-SG"/>
              </w:rPr>
            </w:pPr>
          </w:p>
        </w:tc>
        <w:tc>
          <w:tcPr>
            <w:tcW w:w="2166" w:type="dxa"/>
          </w:tcPr>
          <w:p w14:paraId="572CF6F2"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exceeding five hundred thousand dollars</w:t>
            </w:r>
          </w:p>
        </w:tc>
        <w:tc>
          <w:tcPr>
            <w:tcW w:w="2185" w:type="dxa"/>
          </w:tcPr>
          <w:p w14:paraId="730A936D"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Virtual asset services offered to persons within the islands </w:t>
            </w:r>
          </w:p>
        </w:tc>
        <w:tc>
          <w:tcPr>
            <w:tcW w:w="2007" w:type="dxa"/>
          </w:tcPr>
          <w:p w14:paraId="77C6C3EA" w14:textId="77777777" w:rsidR="00C94D89" w:rsidRPr="003A119B" w:rsidRDefault="00C94D89" w:rsidP="003A119B">
            <w:pPr>
              <w:spacing w:line="240" w:lineRule="auto"/>
              <w:contextualSpacing/>
              <w:rPr>
                <w:rFonts w:cstheme="minorHAnsi"/>
                <w:lang w:val="en-SG"/>
              </w:rPr>
            </w:pPr>
            <w:r w:rsidRPr="003A119B">
              <w:rPr>
                <w:rFonts w:cstheme="minorHAnsi"/>
                <w:lang w:val="en-SG"/>
              </w:rPr>
              <w:t>$3,500 - $5000</w:t>
            </w:r>
          </w:p>
        </w:tc>
      </w:tr>
      <w:tr w:rsidR="00C94D89" w:rsidRPr="003A119B" w14:paraId="0E43B420" w14:textId="77777777" w:rsidTr="00C94D89">
        <w:tc>
          <w:tcPr>
            <w:tcW w:w="2571" w:type="dxa"/>
          </w:tcPr>
          <w:p w14:paraId="645C2E42" w14:textId="77777777" w:rsidR="00C94D89" w:rsidRPr="003A119B" w:rsidRDefault="00C94D89" w:rsidP="003A119B">
            <w:pPr>
              <w:spacing w:line="240" w:lineRule="auto"/>
              <w:contextualSpacing/>
              <w:rPr>
                <w:rFonts w:cstheme="minorHAnsi"/>
                <w:lang w:val="en-SG"/>
              </w:rPr>
            </w:pPr>
          </w:p>
        </w:tc>
        <w:tc>
          <w:tcPr>
            <w:tcW w:w="2166" w:type="dxa"/>
          </w:tcPr>
          <w:p w14:paraId="3F678A85"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exceeding five hundred thousand dollars</w:t>
            </w:r>
          </w:p>
        </w:tc>
        <w:tc>
          <w:tcPr>
            <w:tcW w:w="2185" w:type="dxa"/>
          </w:tcPr>
          <w:p w14:paraId="0239E36A" w14:textId="77777777" w:rsidR="00C94D89" w:rsidRPr="003A119B" w:rsidRDefault="00C94D89" w:rsidP="003A119B">
            <w:pPr>
              <w:spacing w:line="240" w:lineRule="auto"/>
              <w:contextualSpacing/>
              <w:rPr>
                <w:rFonts w:cstheme="minorHAnsi"/>
                <w:lang w:val="en-SG"/>
              </w:rPr>
            </w:pPr>
            <w:r w:rsidRPr="003A119B">
              <w:rPr>
                <w:rFonts w:cstheme="minorHAnsi"/>
                <w:lang w:val="en-SG"/>
              </w:rPr>
              <w:t>Virtual asset services offered to persons outside of the islands</w:t>
            </w:r>
          </w:p>
        </w:tc>
        <w:tc>
          <w:tcPr>
            <w:tcW w:w="2007" w:type="dxa"/>
          </w:tcPr>
          <w:p w14:paraId="01D61DD9" w14:textId="77777777" w:rsidR="00C94D89" w:rsidRPr="003A119B" w:rsidRDefault="00C94D89" w:rsidP="003A119B">
            <w:pPr>
              <w:spacing w:line="240" w:lineRule="auto"/>
              <w:contextualSpacing/>
              <w:rPr>
                <w:rFonts w:cstheme="minorHAnsi"/>
                <w:lang w:val="en-SG"/>
              </w:rPr>
            </w:pPr>
            <w:r w:rsidRPr="003A119B">
              <w:rPr>
                <w:rFonts w:cstheme="minorHAnsi"/>
                <w:lang w:val="en-SG"/>
              </w:rPr>
              <w:t>$7,500 - $15,000</w:t>
            </w:r>
          </w:p>
        </w:tc>
      </w:tr>
    </w:tbl>
    <w:p w14:paraId="23C1150F" w14:textId="77777777" w:rsidR="00C94D89" w:rsidRPr="003A119B" w:rsidRDefault="00C94D89" w:rsidP="003A119B">
      <w:pPr>
        <w:spacing w:after="0" w:line="240" w:lineRule="auto"/>
        <w:jc w:val="both"/>
        <w:rPr>
          <w:rFonts w:eastAsia="Times New Roman"/>
        </w:rPr>
      </w:pPr>
    </w:p>
    <w:p w14:paraId="59AB1C66" w14:textId="7C659199" w:rsidR="006559F5" w:rsidRPr="003A119B" w:rsidRDefault="00953BF3" w:rsidP="003A119B">
      <w:pPr>
        <w:spacing w:after="0" w:line="240" w:lineRule="auto"/>
        <w:ind w:firstLine="360"/>
        <w:jc w:val="both"/>
        <w:rPr>
          <w:rFonts w:eastAsia="Times New Roman"/>
          <w:b/>
          <w:bCs/>
          <w:u w:val="single"/>
          <w:lang w:val="en-PH"/>
        </w:rPr>
      </w:pPr>
      <w:r w:rsidRPr="003A119B">
        <w:rPr>
          <w:rFonts w:eastAsia="Times New Roman"/>
          <w:b/>
          <w:bCs/>
          <w:u w:val="single"/>
          <w:lang w:val="en-PH"/>
        </w:rPr>
        <w:t>What are the main ongoing requirements for VASPs regulated in</w:t>
      </w:r>
      <w:r w:rsidR="00D54BC9"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2004674B" w14:textId="77777777" w:rsidR="00307AE3" w:rsidRPr="003A119B" w:rsidRDefault="00307AE3" w:rsidP="003A119B">
      <w:pPr>
        <w:spacing w:after="0" w:line="240" w:lineRule="auto"/>
        <w:ind w:firstLine="360"/>
        <w:jc w:val="both"/>
        <w:rPr>
          <w:rFonts w:eastAsia="Times New Roman"/>
          <w:b/>
          <w:bCs/>
          <w:u w:val="single"/>
          <w:lang w:val="en-PH"/>
        </w:rPr>
      </w:pPr>
    </w:p>
    <w:p w14:paraId="08F29764" w14:textId="77777777" w:rsidR="00F7538D" w:rsidRPr="00F7538D" w:rsidRDefault="00F7538D" w:rsidP="003A119B">
      <w:pPr>
        <w:spacing w:after="0" w:line="240" w:lineRule="auto"/>
        <w:ind w:left="360"/>
        <w:jc w:val="both"/>
        <w:rPr>
          <w:rFonts w:eastAsia="Times New Roman"/>
          <w:lang w:val="en-SG"/>
        </w:rPr>
      </w:pPr>
      <w:r w:rsidRPr="00F7538D">
        <w:rPr>
          <w:rFonts w:eastAsia="Times New Roman"/>
          <w:lang w:val="en-SG"/>
        </w:rPr>
        <w:t>VASPs registered in the Cayman Islands are subject to the certain ongoing obligations under the VASP Act including, amongst others, the following:</w:t>
      </w:r>
    </w:p>
    <w:p w14:paraId="5DA68AA7" w14:textId="77777777" w:rsidR="00F7538D" w:rsidRPr="00F7538D" w:rsidRDefault="00F7538D" w:rsidP="003A119B">
      <w:pPr>
        <w:spacing w:after="0" w:line="240" w:lineRule="auto"/>
        <w:ind w:left="360" w:firstLine="360"/>
        <w:jc w:val="both"/>
        <w:rPr>
          <w:rFonts w:eastAsia="Times New Roman"/>
          <w:lang w:val="en-SG"/>
        </w:rPr>
      </w:pPr>
    </w:p>
    <w:p w14:paraId="592212C4"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are required to annually provide for auditor’s report at their own expense, prepared by an independent auditor on Anti-money Laundering (</w:t>
      </w:r>
      <w:r w:rsidRPr="00F7538D">
        <w:rPr>
          <w:rFonts w:eastAsia="Times New Roman"/>
          <w:b/>
          <w:lang w:val="en-SG"/>
        </w:rPr>
        <w:t>AML</w:t>
      </w:r>
      <w:r w:rsidRPr="00F7538D">
        <w:rPr>
          <w:rFonts w:eastAsia="Times New Roman"/>
          <w:lang w:val="en-SG"/>
        </w:rPr>
        <w:t>) systems and procedures for compliance with the AMLR;</w:t>
      </w:r>
    </w:p>
    <w:p w14:paraId="0B36CAD7" w14:textId="77777777" w:rsidR="00F7538D" w:rsidRPr="00F7538D" w:rsidRDefault="00F7538D" w:rsidP="00805BF8">
      <w:pPr>
        <w:spacing w:after="0" w:line="240" w:lineRule="auto"/>
        <w:ind w:firstLine="360"/>
        <w:jc w:val="both"/>
        <w:rPr>
          <w:rFonts w:eastAsia="Times New Roman"/>
          <w:lang w:val="en-SG"/>
        </w:rPr>
      </w:pPr>
    </w:p>
    <w:p w14:paraId="50104138"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rPr>
        <w:t>VASPs are required to implement measures to identify and report unusual or suspicious movements of funds, value, or transactions indicative of potential involvement in illicit activity;</w:t>
      </w:r>
    </w:p>
    <w:p w14:paraId="1AA2D424" w14:textId="77777777" w:rsidR="00F7538D" w:rsidRPr="00F7538D" w:rsidRDefault="00F7538D" w:rsidP="00805BF8">
      <w:pPr>
        <w:spacing w:after="0" w:line="240" w:lineRule="auto"/>
        <w:ind w:firstLine="360"/>
        <w:jc w:val="both"/>
        <w:rPr>
          <w:rFonts w:eastAsia="Times New Roman"/>
          <w:lang w:val="en-SG"/>
        </w:rPr>
      </w:pPr>
    </w:p>
    <w:p w14:paraId="73B137E6"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 xml:space="preserve">VASPs shall prepare accounts annually and make it available for inspection upon request by </w:t>
      </w:r>
      <w:r w:rsidRPr="00F7538D">
        <w:rPr>
          <w:rFonts w:eastAsia="Times New Roman"/>
        </w:rPr>
        <w:t>CIMA;</w:t>
      </w:r>
    </w:p>
    <w:p w14:paraId="70BA760D" w14:textId="77777777" w:rsidR="00F7538D" w:rsidRPr="00F7538D" w:rsidRDefault="00F7538D" w:rsidP="00805BF8">
      <w:pPr>
        <w:spacing w:after="0" w:line="240" w:lineRule="auto"/>
        <w:ind w:firstLine="360"/>
        <w:jc w:val="both"/>
        <w:rPr>
          <w:rFonts w:eastAsia="Times New Roman"/>
          <w:lang w:val="en-SG"/>
        </w:rPr>
      </w:pPr>
    </w:p>
    <w:p w14:paraId="3C4FC889"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senior officers, trustees and beneficial owners should be fit and proper;</w:t>
      </w:r>
    </w:p>
    <w:p w14:paraId="5BCCF454" w14:textId="77777777" w:rsidR="00F7538D" w:rsidRPr="00F7538D" w:rsidRDefault="00F7538D" w:rsidP="00805BF8">
      <w:pPr>
        <w:spacing w:after="0" w:line="240" w:lineRule="auto"/>
        <w:ind w:firstLine="360"/>
        <w:jc w:val="both"/>
        <w:rPr>
          <w:rFonts w:eastAsia="Times New Roman"/>
          <w:lang w:val="en-SG"/>
        </w:rPr>
      </w:pPr>
    </w:p>
    <w:p w14:paraId="60C61C12"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take necessary steps to protect and secure personal data and virtual assets of the clients;</w:t>
      </w:r>
    </w:p>
    <w:p w14:paraId="2B2FCB69" w14:textId="77777777" w:rsidR="00F7538D" w:rsidRPr="00F7538D" w:rsidRDefault="00F7538D" w:rsidP="00805BF8">
      <w:pPr>
        <w:spacing w:after="0" w:line="240" w:lineRule="auto"/>
        <w:ind w:firstLine="360"/>
        <w:jc w:val="both"/>
        <w:rPr>
          <w:rFonts w:eastAsia="Times New Roman"/>
          <w:lang w:val="en-SG"/>
        </w:rPr>
      </w:pPr>
    </w:p>
    <w:p w14:paraId="639B520F"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ensure communications relating to virtual assets service are clean;</w:t>
      </w:r>
    </w:p>
    <w:p w14:paraId="58A7FE43" w14:textId="77777777" w:rsidR="00F7538D" w:rsidRPr="00F7538D" w:rsidRDefault="00F7538D" w:rsidP="00805BF8">
      <w:pPr>
        <w:spacing w:after="0" w:line="240" w:lineRule="auto"/>
        <w:ind w:firstLine="360"/>
        <w:jc w:val="both"/>
        <w:rPr>
          <w:rFonts w:eastAsia="Times New Roman"/>
          <w:lang w:val="en-SG"/>
        </w:rPr>
      </w:pPr>
    </w:p>
    <w:p w14:paraId="3FD230FF"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ensure compliance with AMLR and other laws relating to the combating of money laundering, terrorist financing (</w:t>
      </w:r>
      <w:r w:rsidRPr="00F7538D">
        <w:rPr>
          <w:rFonts w:eastAsia="Times New Roman"/>
          <w:b/>
          <w:lang w:val="en-SG"/>
        </w:rPr>
        <w:t>TF</w:t>
      </w:r>
      <w:r w:rsidRPr="00F7538D">
        <w:rPr>
          <w:rFonts w:eastAsia="Times New Roman"/>
          <w:lang w:val="en-SG"/>
        </w:rPr>
        <w:t>) and proliferation financing (</w:t>
      </w:r>
      <w:r w:rsidRPr="00F7538D">
        <w:rPr>
          <w:rFonts w:eastAsia="Times New Roman"/>
          <w:b/>
          <w:lang w:val="en-SG"/>
        </w:rPr>
        <w:t>PF</w:t>
      </w:r>
      <w:r w:rsidRPr="00F7538D">
        <w:rPr>
          <w:rFonts w:eastAsia="Times New Roman"/>
          <w:lang w:val="en-SG"/>
        </w:rPr>
        <w:t>) and shall put in force AML systems and procedures along with an officer with responsibility for the same;</w:t>
      </w:r>
    </w:p>
    <w:p w14:paraId="7DAE8C9C" w14:textId="77777777" w:rsidR="00F7538D" w:rsidRPr="00F7538D" w:rsidRDefault="00F7538D" w:rsidP="00805BF8">
      <w:pPr>
        <w:spacing w:after="0" w:line="240" w:lineRule="auto"/>
        <w:ind w:firstLine="360"/>
        <w:jc w:val="both"/>
        <w:rPr>
          <w:rFonts w:eastAsia="Times New Roman"/>
          <w:lang w:val="en-SG"/>
        </w:rPr>
      </w:pPr>
    </w:p>
    <w:p w14:paraId="2C55450B"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 xml:space="preserve">VASPs shall be ready to provide any document, statements or such other information required by the </w:t>
      </w:r>
      <w:r w:rsidRPr="00F7538D">
        <w:rPr>
          <w:rFonts w:eastAsia="Times New Roman"/>
        </w:rPr>
        <w:t>CIMA</w:t>
      </w:r>
      <w:r w:rsidRPr="00F7538D">
        <w:rPr>
          <w:rFonts w:eastAsia="Times New Roman"/>
          <w:lang w:val="en-SG"/>
        </w:rPr>
        <w:t xml:space="preserve"> to perform its functions;</w:t>
      </w:r>
    </w:p>
    <w:p w14:paraId="5E4680F3" w14:textId="77777777" w:rsidR="00F7538D" w:rsidRPr="00F7538D" w:rsidRDefault="00F7538D" w:rsidP="00805BF8">
      <w:pPr>
        <w:spacing w:after="0" w:line="240" w:lineRule="auto"/>
        <w:ind w:firstLine="360"/>
        <w:jc w:val="both"/>
        <w:rPr>
          <w:rFonts w:eastAsia="Times New Roman"/>
          <w:lang w:val="en-SG"/>
        </w:rPr>
      </w:pPr>
    </w:p>
    <w:p w14:paraId="51CDCED5"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pay renewal fee on or before 15</w:t>
      </w:r>
      <w:r w:rsidRPr="00F7538D">
        <w:rPr>
          <w:rFonts w:eastAsia="Times New Roman"/>
          <w:vertAlign w:val="superscript"/>
          <w:lang w:val="en-SG"/>
        </w:rPr>
        <w:t>th</w:t>
      </w:r>
      <w:r w:rsidRPr="00F7538D">
        <w:rPr>
          <w:rFonts w:eastAsia="Times New Roman"/>
          <w:lang w:val="en-SG"/>
        </w:rPr>
        <w:t xml:space="preserve"> January of every year for renewal of their license or registration; and</w:t>
      </w:r>
    </w:p>
    <w:p w14:paraId="5F849213" w14:textId="77777777" w:rsidR="00F7538D" w:rsidRPr="00F7538D" w:rsidRDefault="00F7538D" w:rsidP="003A119B">
      <w:pPr>
        <w:spacing w:after="0" w:line="240" w:lineRule="auto"/>
        <w:ind w:left="360" w:firstLine="360"/>
        <w:jc w:val="both"/>
        <w:rPr>
          <w:rFonts w:eastAsia="Times New Roman"/>
          <w:lang w:val="en-SG"/>
        </w:rPr>
      </w:pPr>
    </w:p>
    <w:p w14:paraId="3F36A025" w14:textId="7BE4D4CA" w:rsidR="00307AE3" w:rsidRPr="003A119B" w:rsidRDefault="00F7538D" w:rsidP="003A119B">
      <w:pPr>
        <w:spacing w:after="0" w:line="240" w:lineRule="auto"/>
        <w:ind w:left="360"/>
        <w:jc w:val="both"/>
        <w:rPr>
          <w:rFonts w:eastAsia="Times New Roman"/>
          <w:lang w:val="en-PH"/>
        </w:rPr>
      </w:pPr>
      <w:r w:rsidRPr="003A119B">
        <w:rPr>
          <w:rFonts w:eastAsia="Times New Roman"/>
          <w:lang w:val="en-SG"/>
        </w:rPr>
        <w:t>directors, senior officers and other relevant persons of VASPs must continue to comply and satisfy with the “fit and proper” criteria.</w:t>
      </w:r>
    </w:p>
    <w:p w14:paraId="5796A9FB" w14:textId="77777777" w:rsidR="00307AE3" w:rsidRPr="003A119B" w:rsidRDefault="00307AE3" w:rsidP="003A119B">
      <w:pPr>
        <w:spacing w:after="0" w:line="240" w:lineRule="auto"/>
        <w:jc w:val="both"/>
        <w:rPr>
          <w:rFonts w:eastAsia="Times New Roman"/>
          <w:b/>
          <w:bCs/>
          <w:u w:val="single"/>
          <w:lang w:val="en-PH"/>
        </w:rPr>
      </w:pPr>
    </w:p>
    <w:p w14:paraId="25A3CDF3" w14:textId="7E8B81D0" w:rsidR="00307AE3" w:rsidRPr="003A119B" w:rsidRDefault="00953BF3" w:rsidP="003A119B">
      <w:pPr>
        <w:spacing w:after="0" w:line="240" w:lineRule="auto"/>
        <w:ind w:firstLine="360"/>
        <w:jc w:val="both"/>
        <w:rPr>
          <w:rFonts w:eastAsia="Times New Roman"/>
          <w:b/>
          <w:bCs/>
          <w:u w:val="single"/>
          <w:lang w:val="en-PH"/>
        </w:rPr>
      </w:pPr>
      <w:r w:rsidRPr="003A119B">
        <w:rPr>
          <w:rFonts w:eastAsia="Times New Roman"/>
          <w:b/>
          <w:bCs/>
          <w:u w:val="single"/>
          <w:lang w:val="en-PH"/>
        </w:rPr>
        <w:t xml:space="preserve">What are the main restrictions on VASPs in </w:t>
      </w:r>
      <w:r w:rsidR="00012EE3" w:rsidRPr="003A119B">
        <w:rPr>
          <w:rFonts w:eastAsia="Times New Roman"/>
          <w:b/>
          <w:bCs/>
          <w:u w:val="single"/>
          <w:lang w:val="en-PH"/>
        </w:rPr>
        <w:t xml:space="preserve">the </w:t>
      </w:r>
      <w:r w:rsidR="00713B35" w:rsidRPr="003A119B">
        <w:rPr>
          <w:rFonts w:eastAsia="Times New Roman"/>
          <w:b/>
          <w:bCs/>
          <w:u w:val="single"/>
          <w:lang w:val="en-GB"/>
        </w:rPr>
        <w:t>Cayman Islands</w:t>
      </w:r>
      <w:r w:rsidRPr="003A119B">
        <w:rPr>
          <w:rFonts w:eastAsia="Times New Roman"/>
          <w:b/>
          <w:bCs/>
          <w:u w:val="single"/>
          <w:lang w:val="en-PH"/>
        </w:rPr>
        <w:t>?</w:t>
      </w:r>
    </w:p>
    <w:p w14:paraId="1EDC15B8" w14:textId="77777777" w:rsidR="005B3AEB" w:rsidRPr="003A119B" w:rsidRDefault="005B3AEB" w:rsidP="003A119B">
      <w:pPr>
        <w:spacing w:after="0" w:line="240" w:lineRule="auto"/>
        <w:ind w:firstLine="360"/>
        <w:jc w:val="both"/>
        <w:rPr>
          <w:rFonts w:eastAsia="Times New Roman"/>
          <w:b/>
          <w:bCs/>
          <w:u w:val="single"/>
          <w:lang w:val="en-PH"/>
        </w:rPr>
      </w:pPr>
    </w:p>
    <w:p w14:paraId="5146B780" w14:textId="77777777" w:rsidR="005B3AEB" w:rsidRPr="005B3AEB" w:rsidRDefault="005B3AEB" w:rsidP="003A119B">
      <w:pPr>
        <w:spacing w:after="0" w:line="240" w:lineRule="auto"/>
        <w:ind w:left="360"/>
        <w:jc w:val="both"/>
        <w:rPr>
          <w:rFonts w:eastAsia="Times New Roman"/>
        </w:rPr>
      </w:pPr>
      <w:r w:rsidRPr="005B3AEB">
        <w:rPr>
          <w:rFonts w:eastAsia="Times New Roman"/>
        </w:rPr>
        <w:lastRenderedPageBreak/>
        <w:t>The Cayman Islands imposes various restrictions on entities involved in virtual asset services to ensure compliance with international standards and prevent illicit activities.  Any VASP that wishes to conduct its business in or from within the Cayman Islands would require to be registered or licensed under the VASP Act. Additionally, SIBA regulates entities engaged in securities investment business, relevant business activities include dealing, arranging, managing, or advising on digital assets where they meet the definition of "securities" under the SIBA. VASPs are restricted from issuing virtual asset which have the inherent characteristics of securities without prior licensing or waiver. Any VASP issuing securities must have a license under the SIBA framework or obtain a waiver from CIMA to engage in such activities.</w:t>
      </w:r>
    </w:p>
    <w:p w14:paraId="20FA9A32" w14:textId="77777777" w:rsidR="005B3AEB" w:rsidRPr="005B3AEB" w:rsidRDefault="005B3AEB" w:rsidP="003A119B">
      <w:pPr>
        <w:spacing w:after="0" w:line="240" w:lineRule="auto"/>
        <w:ind w:left="360" w:firstLine="360"/>
        <w:jc w:val="both"/>
        <w:rPr>
          <w:rFonts w:eastAsia="Times New Roman"/>
        </w:rPr>
      </w:pPr>
    </w:p>
    <w:p w14:paraId="5418AA36" w14:textId="5D7D459B" w:rsidR="005B3AEB" w:rsidRPr="003A119B" w:rsidRDefault="005B3AEB" w:rsidP="003A119B">
      <w:pPr>
        <w:spacing w:after="0" w:line="240" w:lineRule="auto"/>
        <w:ind w:left="360"/>
        <w:jc w:val="both"/>
        <w:rPr>
          <w:rFonts w:eastAsia="Times New Roman"/>
          <w:lang w:val="en-SG"/>
        </w:rPr>
      </w:pPr>
      <w:r w:rsidRPr="005B3AEB">
        <w:rPr>
          <w:rFonts w:eastAsia="Times New Roman"/>
        </w:rPr>
        <w:t>Further, a VASP is prohibited from providing financing to clients for virtual asset purchases without adequate disclosures on terms and risks. Additionally, engaging in trading or market making for the licensee's own account is restricted unless necessary for platform operation and disclosed to clients. The platform must ensure that virtual assets traded are not presented deceptively, and clients are only allowed to trade after being made aware of associated risks through comprehensible disclosures. Furthermore, providing fiat-to-fiat exchange services to platform users is not permitted. These regulations aim to foster transparency, client protection, and the integrity of virtual asset trading within the jurisdiction.</w:t>
      </w:r>
    </w:p>
    <w:p w14:paraId="7F8BE68F" w14:textId="77777777" w:rsidR="00307AE3" w:rsidRPr="003A119B" w:rsidRDefault="00307AE3" w:rsidP="003A119B">
      <w:pPr>
        <w:spacing w:after="0" w:line="240" w:lineRule="auto"/>
        <w:jc w:val="both"/>
        <w:rPr>
          <w:rFonts w:eastAsia="Times New Roman"/>
          <w:bCs/>
        </w:rPr>
      </w:pPr>
    </w:p>
    <w:p w14:paraId="46F72D17" w14:textId="77777777" w:rsidR="00953BF3"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What are the main information that VASPs have to make available to its customers?</w:t>
      </w:r>
    </w:p>
    <w:p w14:paraId="46EA2543" w14:textId="77777777" w:rsidR="00574C89" w:rsidRPr="003A119B" w:rsidRDefault="00574C89" w:rsidP="003A119B">
      <w:pPr>
        <w:spacing w:after="0" w:line="240" w:lineRule="auto"/>
        <w:ind w:left="360"/>
        <w:jc w:val="both"/>
        <w:rPr>
          <w:rFonts w:eastAsia="Times New Roman"/>
          <w:bCs/>
          <w:lang w:val="en-PH"/>
        </w:rPr>
      </w:pPr>
    </w:p>
    <w:p w14:paraId="6D29307F" w14:textId="77777777" w:rsidR="00AE3D68" w:rsidRPr="00AE3D68" w:rsidRDefault="00AE3D68" w:rsidP="003A119B">
      <w:pPr>
        <w:spacing w:after="0" w:line="240" w:lineRule="auto"/>
        <w:ind w:left="360"/>
        <w:jc w:val="both"/>
        <w:rPr>
          <w:rFonts w:eastAsia="Times New Roman"/>
          <w:bCs/>
          <w:lang w:val="en-SG"/>
        </w:rPr>
      </w:pPr>
      <w:r w:rsidRPr="00AE3D68">
        <w:rPr>
          <w:rFonts w:eastAsia="Times New Roman"/>
          <w:bCs/>
          <w:lang w:val="en-SG"/>
        </w:rPr>
        <w:t>A VASP providing virtual asset custody services are required to disclose any information concerning transparency of operation which includes risks associated with the custodial arrangements, internal safeguards, method of access to virtual assets and insurance agreements. They further require a custodial arrangement providing information about the manner in which virtual assets will be held, the nature and manner of transactions that the custodian is permitted to engage in, disclosures relating to risk in safekeeping and mitigating factors, fees and spreads or other remuneration to the custodian, information about how clients can access their access the virtual asset, grounds on which the agreement can be terminated, matters relating to licensees security safeguards, remedies available to owner upon any unforeseeable loss of virtual asset by custodian.</w:t>
      </w:r>
    </w:p>
    <w:p w14:paraId="60366DFF" w14:textId="77777777" w:rsidR="00AE3D68" w:rsidRPr="00AE3D68" w:rsidRDefault="00AE3D68" w:rsidP="003A119B">
      <w:pPr>
        <w:spacing w:after="0" w:line="240" w:lineRule="auto"/>
        <w:ind w:left="360"/>
        <w:jc w:val="both"/>
        <w:rPr>
          <w:rFonts w:eastAsia="Times New Roman"/>
          <w:bCs/>
          <w:lang w:val="en-SG"/>
        </w:rPr>
      </w:pPr>
    </w:p>
    <w:p w14:paraId="2326C534" w14:textId="77777777" w:rsidR="00AE3D68" w:rsidRPr="00AE3D68" w:rsidRDefault="00AE3D68" w:rsidP="003A119B">
      <w:pPr>
        <w:spacing w:after="0" w:line="240" w:lineRule="auto"/>
        <w:ind w:left="360"/>
        <w:jc w:val="both"/>
        <w:rPr>
          <w:rFonts w:eastAsia="Times New Roman"/>
          <w:bCs/>
        </w:rPr>
      </w:pPr>
      <w:r w:rsidRPr="00AE3D68">
        <w:rPr>
          <w:rFonts w:eastAsia="Times New Roman"/>
          <w:bCs/>
          <w:lang w:val="en-SG"/>
        </w:rPr>
        <w:t>A VASP providing the services of trading platform must make disclosures to customers concerning the transparency of operations of the virtual asset trading platform including disclosures to client on custodial arrangements and insurance against theft or loss of assets.</w:t>
      </w:r>
    </w:p>
    <w:p w14:paraId="355B3AC0" w14:textId="77777777" w:rsidR="00307AE3" w:rsidRPr="003A119B" w:rsidRDefault="00307AE3" w:rsidP="003A119B">
      <w:pPr>
        <w:spacing w:after="0" w:line="240" w:lineRule="auto"/>
        <w:jc w:val="both"/>
        <w:rPr>
          <w:rFonts w:eastAsia="Times New Roman"/>
          <w:bCs/>
        </w:rPr>
      </w:pPr>
    </w:p>
    <w:p w14:paraId="4A922012" w14:textId="05BE2908" w:rsidR="00F53CBD" w:rsidRPr="003A119B" w:rsidRDefault="00953BF3" w:rsidP="003A119B">
      <w:pPr>
        <w:spacing w:after="0" w:line="240" w:lineRule="auto"/>
        <w:ind w:firstLine="360"/>
        <w:jc w:val="both"/>
        <w:rPr>
          <w:rFonts w:eastAsia="Times New Roman"/>
          <w:b/>
          <w:bCs/>
          <w:u w:val="single"/>
          <w:lang w:val="en-PH"/>
        </w:rPr>
      </w:pPr>
      <w:r w:rsidRPr="003A119B">
        <w:rPr>
          <w:rFonts w:eastAsia="Times New Roman"/>
          <w:b/>
          <w:bCs/>
          <w:u w:val="single"/>
          <w:lang w:val="en-PH"/>
        </w:rPr>
        <w:t>What market misconduct legislation/regulations apply to virtual assets?</w:t>
      </w:r>
    </w:p>
    <w:p w14:paraId="7B9D4EC1" w14:textId="77777777" w:rsidR="00DE3A63" w:rsidRPr="003A119B" w:rsidRDefault="00DE3A63" w:rsidP="003A119B">
      <w:pPr>
        <w:spacing w:after="0" w:line="240" w:lineRule="auto"/>
        <w:ind w:firstLine="360"/>
        <w:jc w:val="both"/>
        <w:rPr>
          <w:rFonts w:eastAsia="Times New Roman"/>
          <w:b/>
          <w:bCs/>
          <w:u w:val="single"/>
          <w:lang w:val="en-PH"/>
        </w:rPr>
      </w:pPr>
    </w:p>
    <w:p w14:paraId="5A81B5F6" w14:textId="77777777" w:rsidR="00393BBD" w:rsidRPr="00393BBD" w:rsidRDefault="00393BBD" w:rsidP="003A119B">
      <w:pPr>
        <w:spacing w:after="0" w:line="240" w:lineRule="auto"/>
        <w:ind w:left="360"/>
        <w:jc w:val="both"/>
        <w:rPr>
          <w:rFonts w:eastAsia="Times New Roman"/>
          <w:lang w:val="en-SG"/>
        </w:rPr>
      </w:pPr>
      <w:r w:rsidRPr="00393BBD">
        <w:rPr>
          <w:rFonts w:eastAsia="Times New Roman"/>
          <w:lang w:val="en-SG"/>
        </w:rPr>
        <w:t>A brief overview of the various market misconduct provisions in Cayman Islands legislation that may apply to virtual assets is set out below:</w:t>
      </w:r>
    </w:p>
    <w:p w14:paraId="3D2E86BE" w14:textId="77777777" w:rsidR="00393BBD" w:rsidRPr="00393BBD" w:rsidRDefault="00393BBD" w:rsidP="003A119B">
      <w:pPr>
        <w:spacing w:after="0" w:line="240" w:lineRule="auto"/>
        <w:ind w:firstLine="360"/>
        <w:jc w:val="both"/>
        <w:rPr>
          <w:rFonts w:eastAsia="Times New Roman"/>
          <w:lang w:val="en-SG"/>
        </w:rPr>
      </w:pPr>
    </w:p>
    <w:p w14:paraId="3CF401D6" w14:textId="77777777" w:rsidR="00393BBD" w:rsidRPr="00393BBD" w:rsidRDefault="00393BBD" w:rsidP="00104737">
      <w:pPr>
        <w:numPr>
          <w:ilvl w:val="0"/>
          <w:numId w:val="123"/>
        </w:numPr>
        <w:spacing w:after="0" w:line="240" w:lineRule="auto"/>
        <w:ind w:left="1080"/>
        <w:jc w:val="both"/>
        <w:rPr>
          <w:rFonts w:eastAsia="Times New Roman"/>
          <w:lang w:val="en-SG"/>
        </w:rPr>
      </w:pPr>
      <w:r w:rsidRPr="00393BBD">
        <w:rPr>
          <w:rFonts w:eastAsia="Times New Roman"/>
          <w:u w:val="single"/>
          <w:lang w:val="en-SG"/>
        </w:rPr>
        <w:t>VASP Act</w:t>
      </w:r>
      <w:r w:rsidRPr="00393BBD">
        <w:rPr>
          <w:rFonts w:eastAsia="Times New Roman"/>
          <w:lang w:val="en-SG"/>
        </w:rPr>
        <w:t>: provides for relevant rules and requirements concerning conduct of VASPs registered in the Cayman Islands and includes various offences including, amongst others, carrying out virtual asset services without licensing;</w:t>
      </w:r>
    </w:p>
    <w:p w14:paraId="77F74E46" w14:textId="77777777" w:rsidR="00393BBD" w:rsidRPr="00393BBD" w:rsidRDefault="00393BBD" w:rsidP="00104737">
      <w:pPr>
        <w:spacing w:after="0" w:line="240" w:lineRule="auto"/>
        <w:ind w:firstLine="360"/>
        <w:jc w:val="both"/>
        <w:rPr>
          <w:rFonts w:eastAsia="Times New Roman"/>
          <w:lang w:val="en-SG"/>
        </w:rPr>
      </w:pPr>
    </w:p>
    <w:p w14:paraId="6582C3F8" w14:textId="77777777" w:rsidR="00393BBD" w:rsidRPr="00393BBD" w:rsidRDefault="00393BBD" w:rsidP="00104737">
      <w:pPr>
        <w:numPr>
          <w:ilvl w:val="0"/>
          <w:numId w:val="123"/>
        </w:numPr>
        <w:spacing w:after="0" w:line="240" w:lineRule="auto"/>
        <w:ind w:left="1080"/>
        <w:jc w:val="both"/>
        <w:rPr>
          <w:rFonts w:eastAsia="Times New Roman"/>
          <w:lang w:val="en-SG"/>
        </w:rPr>
      </w:pPr>
      <w:r w:rsidRPr="00393BBD">
        <w:rPr>
          <w:rFonts w:eastAsia="Times New Roman"/>
          <w:i/>
          <w:u w:val="single"/>
          <w:lang w:val="en-SG"/>
        </w:rPr>
        <w:t>SIBA</w:t>
      </w:r>
      <w:r w:rsidRPr="00393BBD">
        <w:rPr>
          <w:rFonts w:eastAsia="Times New Roman"/>
          <w:lang w:val="en-SG"/>
        </w:rPr>
        <w:t>: provides for requirements for licensing of entities engaged in investment services in the Cayman Islands and includes various offences including, amongst others, carrying out investment services without licensing; and</w:t>
      </w:r>
    </w:p>
    <w:p w14:paraId="64A4FAB3" w14:textId="77777777" w:rsidR="00393BBD" w:rsidRPr="00393BBD" w:rsidRDefault="00393BBD" w:rsidP="00104737">
      <w:pPr>
        <w:spacing w:after="0" w:line="240" w:lineRule="auto"/>
        <w:ind w:firstLine="360"/>
        <w:jc w:val="both"/>
        <w:rPr>
          <w:rFonts w:eastAsia="Times New Roman"/>
          <w:lang w:val="en-SG"/>
        </w:rPr>
      </w:pPr>
    </w:p>
    <w:p w14:paraId="28329DAA" w14:textId="77777777" w:rsidR="00393BBD" w:rsidRPr="00393BBD" w:rsidRDefault="00393BBD" w:rsidP="00104737">
      <w:pPr>
        <w:numPr>
          <w:ilvl w:val="0"/>
          <w:numId w:val="123"/>
        </w:numPr>
        <w:spacing w:after="0" w:line="240" w:lineRule="auto"/>
        <w:ind w:left="1080"/>
        <w:jc w:val="both"/>
        <w:rPr>
          <w:rFonts w:eastAsia="Times New Roman"/>
          <w:u w:val="single"/>
          <w:lang w:val="en-SG"/>
        </w:rPr>
      </w:pPr>
      <w:r w:rsidRPr="00393BBD">
        <w:rPr>
          <w:rFonts w:eastAsia="Times New Roman"/>
          <w:i/>
          <w:u w:val="single"/>
          <w:lang w:val="en-SG"/>
        </w:rPr>
        <w:lastRenderedPageBreak/>
        <w:t>AML/TF / PF Regulations</w:t>
      </w:r>
      <w:r w:rsidRPr="00393BBD">
        <w:rPr>
          <w:rFonts w:eastAsia="Times New Roman"/>
          <w:lang w:val="en-SG"/>
        </w:rPr>
        <w:t xml:space="preserve">: VASPs are required to comply with </w:t>
      </w:r>
      <w:r w:rsidRPr="00393BBD">
        <w:rPr>
          <w:rFonts w:eastAsia="Times New Roman"/>
        </w:rPr>
        <w:t>AMLR and the POCA to ensure adherence to ML/TF/PF regulations and ensure reporting of any illicit activity that comes under their notice promptly to CIMA;</w:t>
      </w:r>
    </w:p>
    <w:p w14:paraId="38D7472B" w14:textId="77777777" w:rsidR="00393BBD" w:rsidRPr="00393BBD" w:rsidRDefault="00393BBD" w:rsidP="00104737">
      <w:pPr>
        <w:spacing w:after="0" w:line="240" w:lineRule="auto"/>
        <w:ind w:firstLine="360"/>
        <w:jc w:val="both"/>
        <w:rPr>
          <w:rFonts w:eastAsia="Times New Roman"/>
          <w:u w:val="single"/>
          <w:lang w:val="en-SG"/>
        </w:rPr>
      </w:pPr>
    </w:p>
    <w:p w14:paraId="35D2103E" w14:textId="77777777" w:rsidR="00393BBD" w:rsidRPr="00393BBD" w:rsidRDefault="00393BBD" w:rsidP="00104737">
      <w:pPr>
        <w:numPr>
          <w:ilvl w:val="0"/>
          <w:numId w:val="123"/>
        </w:numPr>
        <w:spacing w:after="0" w:line="240" w:lineRule="auto"/>
        <w:ind w:left="1080"/>
        <w:jc w:val="both"/>
        <w:rPr>
          <w:rFonts w:eastAsia="Times New Roman"/>
          <w:u w:val="single"/>
          <w:lang w:val="en-SG"/>
        </w:rPr>
      </w:pPr>
      <w:r w:rsidRPr="00393BBD">
        <w:rPr>
          <w:rFonts w:eastAsia="Times New Roman"/>
          <w:u w:val="single"/>
          <w:lang w:val="en-SG"/>
        </w:rPr>
        <w:t>Economic Substance Requirements</w:t>
      </w:r>
      <w:r w:rsidRPr="00393BBD">
        <w:rPr>
          <w:rFonts w:eastAsia="Times New Roman"/>
          <w:lang w:val="en-SG"/>
        </w:rPr>
        <w:t>: T</w:t>
      </w:r>
      <w:r w:rsidRPr="00393BBD">
        <w:rPr>
          <w:rFonts w:eastAsia="Times New Roman"/>
        </w:rPr>
        <w:t>he ITCESA provides for VASPs to mandates that all Cayman Islands entities, including foreign entities registered in the Cayman Islands, must submit an annual notification to the Cayman Islands Tax Information Authority (</w:t>
      </w:r>
      <w:r w:rsidRPr="00393BBD">
        <w:rPr>
          <w:rFonts w:eastAsia="Times New Roman"/>
          <w:b/>
        </w:rPr>
        <w:t>TIA</w:t>
      </w:r>
      <w:r w:rsidRPr="00393BBD">
        <w:rPr>
          <w:rFonts w:eastAsia="Times New Roman"/>
        </w:rPr>
        <w:t>). It should be noted that economic substance does not include investment funds.</w:t>
      </w:r>
    </w:p>
    <w:p w14:paraId="2C0C76FE" w14:textId="77777777" w:rsidR="00307AE3" w:rsidRPr="003A119B" w:rsidRDefault="00307AE3" w:rsidP="003A119B">
      <w:pPr>
        <w:spacing w:after="0" w:line="240" w:lineRule="auto"/>
        <w:jc w:val="both"/>
        <w:rPr>
          <w:rFonts w:eastAsia="Times New Roman"/>
          <w:b/>
          <w:bCs/>
          <w:u w:val="single"/>
          <w:lang w:val="en-PH"/>
        </w:rPr>
      </w:pPr>
    </w:p>
    <w:p w14:paraId="29E82126" w14:textId="48A5B8BD" w:rsidR="00184EDF" w:rsidRPr="003A119B" w:rsidRDefault="005651FF"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 xml:space="preserve">Regulation of other crypto-related activities in </w:t>
      </w:r>
      <w:r w:rsidR="002753BD" w:rsidRPr="003A119B">
        <w:rPr>
          <w:rFonts w:eastAsia="Times New Roman"/>
          <w:b/>
          <w:bCs/>
          <w:lang w:val="en-PH"/>
        </w:rPr>
        <w:t xml:space="preserve">the </w:t>
      </w:r>
      <w:r w:rsidR="00713B35" w:rsidRPr="003A119B">
        <w:rPr>
          <w:rFonts w:eastAsia="Times New Roman"/>
          <w:b/>
          <w:bCs/>
          <w:lang w:val="en-GB"/>
        </w:rPr>
        <w:t>Cayman Islands</w:t>
      </w:r>
    </w:p>
    <w:p w14:paraId="7546E5AE" w14:textId="77777777" w:rsidR="00184EDF" w:rsidRPr="003A119B" w:rsidRDefault="00184EDF" w:rsidP="003A119B">
      <w:pPr>
        <w:pStyle w:val="ListParagraph"/>
        <w:spacing w:after="0" w:line="240" w:lineRule="auto"/>
        <w:ind w:left="360"/>
        <w:jc w:val="both"/>
        <w:rPr>
          <w:rFonts w:eastAsia="Times New Roman"/>
          <w:b/>
          <w:bCs/>
          <w:lang w:val="en-PH"/>
        </w:rPr>
      </w:pPr>
    </w:p>
    <w:p w14:paraId="40D36074" w14:textId="1335F4C7" w:rsidR="00F53CBD" w:rsidRPr="003A119B" w:rsidRDefault="00FF7480" w:rsidP="003A119B">
      <w:pPr>
        <w:spacing w:after="0" w:line="240" w:lineRule="auto"/>
        <w:ind w:left="360"/>
        <w:jc w:val="both"/>
        <w:rPr>
          <w:rFonts w:eastAsia="Times New Roman"/>
          <w:b/>
          <w:bCs/>
          <w:u w:val="single"/>
          <w:lang w:val="en-PH"/>
        </w:rPr>
      </w:pPr>
      <w:r w:rsidRPr="003A119B">
        <w:rPr>
          <w:rFonts w:eastAsia="Times New Roman"/>
          <w:b/>
          <w:bCs/>
          <w:u w:val="single"/>
          <w:lang w:val="en-PH"/>
        </w:rPr>
        <w:t>Are managers of crypto funds regulated in</w:t>
      </w:r>
      <w:r w:rsidR="0008430A"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151BCCED" w14:textId="77777777" w:rsidR="00F53CBD" w:rsidRPr="003A119B" w:rsidRDefault="00F53CBD" w:rsidP="003A119B">
      <w:pPr>
        <w:spacing w:after="0" w:line="240" w:lineRule="auto"/>
        <w:ind w:left="360"/>
        <w:jc w:val="both"/>
        <w:rPr>
          <w:rFonts w:eastAsia="Times New Roman"/>
          <w:b/>
          <w:bCs/>
          <w:u w:val="single"/>
          <w:lang w:val="en-PH"/>
        </w:rPr>
      </w:pPr>
    </w:p>
    <w:p w14:paraId="0D397F00" w14:textId="1E20BEDD" w:rsidR="00237DD8" w:rsidRPr="00237DD8" w:rsidRDefault="00237DD8" w:rsidP="003A119B">
      <w:pPr>
        <w:spacing w:after="0" w:line="240" w:lineRule="auto"/>
        <w:ind w:left="360"/>
        <w:jc w:val="both"/>
        <w:rPr>
          <w:rFonts w:eastAsia="Times New Roman"/>
          <w:bCs/>
        </w:rPr>
      </w:pPr>
      <w:r w:rsidRPr="00237DD8">
        <w:rPr>
          <w:rFonts w:eastAsia="Times New Roman"/>
        </w:rPr>
        <w:t>The managers of crypto funds or the act of managing crypto funds in or from within, i</w:t>
      </w:r>
      <w:r w:rsidRPr="00237DD8">
        <w:rPr>
          <w:rFonts w:eastAsia="Times New Roman"/>
          <w:bCs/>
        </w:rPr>
        <w:t>n the context of Cayman Islands regulation, investment funds focused on virtual assets that do not issue tokenized equity interests are likely to be regulated under the Private Funds Act or the Mutual Funds Act depending on the characteristics of the fund. Pending guidance from the CIMA, funds intending to issue tokenized equity interests may engage in virtual asset issuance, qualifying as a VASP activity, requiring licensing</w:t>
      </w:r>
      <w:r w:rsidR="007A349F" w:rsidRPr="003A119B">
        <w:rPr>
          <w:rFonts w:eastAsia="Times New Roman"/>
          <w:bCs/>
        </w:rPr>
        <w:t xml:space="preserve"> </w:t>
      </w:r>
      <w:r w:rsidRPr="00237DD8">
        <w:rPr>
          <w:rFonts w:eastAsia="Times New Roman"/>
          <w:bCs/>
        </w:rPr>
        <w:t xml:space="preserve">or registration with CIMA before launch. Funds considering virtual asset subscriptions or redemptions in-kind should seek advice on their regulatory status. Regarding offerings within the Cayman Islands, exemptions prohibit certain companies from offering securities to the public, and caution is advised to avoid activities constituting "carrying on a business" within the Cayman Islands, necessitating legal guidance. While these restrictions typically do not pose significant concerns, careful consideration of exempt entities and target investors is recommended. That said, if a crypto fund has the characteristics of securities, the managers would require to either get a license or registration from CIMA or apply for waiver of such requirements under CIMA. </w:t>
      </w:r>
    </w:p>
    <w:p w14:paraId="5D9D58EE" w14:textId="77777777" w:rsidR="00307AE3" w:rsidRPr="003A119B" w:rsidRDefault="00307AE3" w:rsidP="003A119B">
      <w:pPr>
        <w:spacing w:after="0" w:line="240" w:lineRule="auto"/>
        <w:jc w:val="both"/>
        <w:rPr>
          <w:rFonts w:eastAsia="Times New Roman"/>
        </w:rPr>
      </w:pPr>
    </w:p>
    <w:p w14:paraId="4BCD005F" w14:textId="66DFC36C" w:rsidR="00FF7480" w:rsidRPr="003A119B" w:rsidRDefault="00FF7480" w:rsidP="003A119B">
      <w:pPr>
        <w:spacing w:after="0" w:line="240" w:lineRule="auto"/>
        <w:ind w:left="360"/>
        <w:jc w:val="both"/>
        <w:rPr>
          <w:rFonts w:eastAsia="Times New Roman"/>
          <w:b/>
          <w:bCs/>
          <w:u w:val="single"/>
          <w:lang w:val="en-PH"/>
        </w:rPr>
      </w:pPr>
      <w:r w:rsidRPr="003A119B">
        <w:rPr>
          <w:rFonts w:eastAsia="Times New Roman"/>
          <w:b/>
          <w:bCs/>
          <w:u w:val="single"/>
          <w:lang w:val="en-PH"/>
        </w:rPr>
        <w:t>Are distributors of virtual asset funds regulated in</w:t>
      </w:r>
      <w:r w:rsidR="00AE3E1C"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7C926FE7" w14:textId="77777777" w:rsidR="00F53CBD" w:rsidRPr="003A119B" w:rsidRDefault="00F53CBD" w:rsidP="003A119B">
      <w:pPr>
        <w:spacing w:after="0" w:line="240" w:lineRule="auto"/>
        <w:ind w:left="360"/>
        <w:jc w:val="both"/>
        <w:rPr>
          <w:rFonts w:eastAsia="Times New Roman"/>
          <w:b/>
          <w:bCs/>
          <w:u w:val="single"/>
          <w:lang w:val="en-PH"/>
        </w:rPr>
      </w:pPr>
    </w:p>
    <w:p w14:paraId="1EAACCB4" w14:textId="77777777" w:rsidR="00237DD8" w:rsidRPr="003A119B" w:rsidRDefault="00237DD8" w:rsidP="003A119B">
      <w:pPr>
        <w:spacing w:after="0" w:line="240" w:lineRule="auto"/>
        <w:ind w:left="360"/>
        <w:jc w:val="both"/>
        <w:rPr>
          <w:rFonts w:eastAsia="Times New Roman"/>
          <w:bCs/>
        </w:rPr>
      </w:pPr>
      <w:r w:rsidRPr="00237DD8">
        <w:rPr>
          <w:rFonts w:eastAsia="Times New Roman"/>
        </w:rPr>
        <w:t>Distributors of virtual asset funds, or the act of distributing virtual assets fund i</w:t>
      </w:r>
      <w:r w:rsidRPr="00237DD8">
        <w:rPr>
          <w:rFonts w:eastAsia="Times New Roman"/>
          <w:bCs/>
        </w:rPr>
        <w:t>n the context of Cayman Islands regulation, will fall in the category of private sale or public sale of virtual assets. In a private sale, virtual asset distribution is meticulously orchestrated through a controlled and exclusive process. The issuer, through private agreements, selectively chooses a limited number of individuals or entities, ensuring that the sale remains confidential and not publicly advertised. Participation is by invitation or within a closed network, allowing for a targeted and confidential distribution to a pre-approved audience. Notably, participants in a private sale benefit from an exemption from registering with the CIMA.</w:t>
      </w:r>
    </w:p>
    <w:p w14:paraId="35C5C051" w14:textId="77777777" w:rsidR="00237DD8" w:rsidRPr="00237DD8" w:rsidRDefault="00237DD8" w:rsidP="003A119B">
      <w:pPr>
        <w:spacing w:after="0" w:line="240" w:lineRule="auto"/>
        <w:ind w:left="360"/>
        <w:jc w:val="both"/>
        <w:rPr>
          <w:rFonts w:eastAsia="Times New Roman"/>
          <w:bCs/>
        </w:rPr>
      </w:pPr>
    </w:p>
    <w:p w14:paraId="197BE172" w14:textId="77777777" w:rsidR="00237DD8" w:rsidRPr="003A119B" w:rsidRDefault="00237DD8" w:rsidP="003A119B">
      <w:pPr>
        <w:spacing w:after="0" w:line="240" w:lineRule="auto"/>
        <w:ind w:left="360"/>
        <w:jc w:val="both"/>
        <w:rPr>
          <w:rFonts w:eastAsia="Times New Roman"/>
          <w:bCs/>
        </w:rPr>
      </w:pPr>
      <w:r w:rsidRPr="00237DD8">
        <w:rPr>
          <w:rFonts w:eastAsia="Times New Roman"/>
          <w:bCs/>
        </w:rPr>
        <w:t>Conversely, in a public sale, the distribution of virtual assets is open to a broader audience, with information disseminated through diverse channels such as online platforms and social media. This inclusive process enables interested individuals to participate without the need for pre-selection or private agreements, aiming to attract a diverse range of participants. Public sales are typically advertised widely to reach a broader market and generate interest from potential investors. Due to the larger and potentially riskier pool of participants involved, issuers are obligated to register with the CIMA to ensure compliance with regulatory measures.</w:t>
      </w:r>
    </w:p>
    <w:p w14:paraId="380D95FE" w14:textId="77777777" w:rsidR="007E6B77" w:rsidRPr="00237DD8" w:rsidRDefault="007E6B77" w:rsidP="003A119B">
      <w:pPr>
        <w:spacing w:after="0" w:line="240" w:lineRule="auto"/>
        <w:ind w:left="360"/>
        <w:jc w:val="both"/>
        <w:rPr>
          <w:rFonts w:eastAsia="Times New Roman"/>
          <w:bCs/>
        </w:rPr>
      </w:pPr>
    </w:p>
    <w:p w14:paraId="408493E7" w14:textId="77777777" w:rsidR="00237DD8" w:rsidRPr="00237DD8" w:rsidRDefault="00237DD8" w:rsidP="003A119B">
      <w:pPr>
        <w:spacing w:after="0" w:line="240" w:lineRule="auto"/>
        <w:ind w:left="360"/>
        <w:jc w:val="both"/>
        <w:rPr>
          <w:rFonts w:eastAsia="Times New Roman"/>
          <w:bCs/>
        </w:rPr>
      </w:pPr>
      <w:r w:rsidRPr="00237DD8">
        <w:rPr>
          <w:rFonts w:eastAsia="Times New Roman"/>
          <w:bCs/>
        </w:rPr>
        <w:t>That said, investment funds focused on virtual assets that do not issue tokenized equity interests are likely to be regulated under the Private Funds Act or the Mutual Funds Act.</w:t>
      </w:r>
    </w:p>
    <w:p w14:paraId="0525415E" w14:textId="77777777" w:rsidR="00307AE3" w:rsidRPr="003A119B" w:rsidRDefault="00307AE3" w:rsidP="003A119B">
      <w:pPr>
        <w:spacing w:after="0" w:line="240" w:lineRule="auto"/>
        <w:jc w:val="both"/>
        <w:rPr>
          <w:rFonts w:eastAsia="Times New Roman"/>
          <w:lang w:val="en-SG"/>
        </w:rPr>
      </w:pPr>
    </w:p>
    <w:p w14:paraId="556F74C6" w14:textId="3FDD140C" w:rsidR="00FF7480" w:rsidRPr="003A119B" w:rsidRDefault="00FF7480" w:rsidP="003A119B">
      <w:pPr>
        <w:spacing w:after="0" w:line="240" w:lineRule="auto"/>
        <w:ind w:left="360"/>
        <w:jc w:val="both"/>
        <w:rPr>
          <w:rFonts w:eastAsia="Times New Roman"/>
          <w:b/>
          <w:bCs/>
          <w:u w:val="single"/>
          <w:lang w:val="en-PH"/>
        </w:rPr>
      </w:pPr>
      <w:r w:rsidRPr="003A119B">
        <w:rPr>
          <w:rFonts w:eastAsia="Times New Roman"/>
          <w:b/>
          <w:bCs/>
          <w:u w:val="single"/>
          <w:lang w:val="en-PH"/>
        </w:rPr>
        <w:t>Are there requirements for intermediaries seeking to provide trading in virtual assets for clients or advise clients on virtual assets in</w:t>
      </w:r>
      <w:r w:rsidR="00310A34"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14D882B0" w14:textId="77777777" w:rsidR="00F53CBD" w:rsidRPr="003A119B" w:rsidRDefault="00F53CBD" w:rsidP="003A119B">
      <w:pPr>
        <w:spacing w:after="0" w:line="240" w:lineRule="auto"/>
        <w:ind w:left="360"/>
        <w:jc w:val="both"/>
        <w:rPr>
          <w:rFonts w:eastAsia="Times New Roman"/>
          <w:b/>
          <w:bCs/>
          <w:u w:val="single"/>
          <w:lang w:val="en-PH"/>
        </w:rPr>
      </w:pPr>
    </w:p>
    <w:p w14:paraId="4584929A" w14:textId="77777777" w:rsidR="00C977D8" w:rsidRPr="00C977D8" w:rsidRDefault="00C977D8" w:rsidP="003A119B">
      <w:pPr>
        <w:spacing w:after="0" w:line="240" w:lineRule="auto"/>
        <w:ind w:left="360"/>
        <w:jc w:val="both"/>
        <w:rPr>
          <w:rFonts w:eastAsia="Times New Roman"/>
          <w:lang w:val="en-SG"/>
        </w:rPr>
      </w:pPr>
      <w:r w:rsidRPr="00C977D8">
        <w:rPr>
          <w:rFonts w:eastAsia="Times New Roman"/>
        </w:rPr>
        <w:t>The provision of trading services in virtual assets is explicitly listed as one of the services falling under virtual asset services, and entities intending to engage in such activities are obligated to obtain licensing as a Virtual Asset Trading Platform (</w:t>
      </w:r>
      <w:r w:rsidRPr="00C977D8">
        <w:rPr>
          <w:rFonts w:eastAsia="Times New Roman"/>
          <w:b/>
        </w:rPr>
        <w:t>VATP</w:t>
      </w:r>
      <w:r w:rsidRPr="00C977D8">
        <w:rPr>
          <w:rFonts w:eastAsia="Times New Roman"/>
        </w:rPr>
        <w:t>) under the VASP Act. Entities or intermediaries desiring to provide trading services are required to submit an application for a virtual asset service license using the prescribed form. For a comprehensive understanding of the registration prerequisites, please refer to the relevant sections outlined above.</w:t>
      </w:r>
    </w:p>
    <w:p w14:paraId="09F8EA9A" w14:textId="77777777" w:rsidR="00C977D8" w:rsidRPr="00C977D8" w:rsidRDefault="00C977D8" w:rsidP="003A119B">
      <w:pPr>
        <w:spacing w:after="0" w:line="240" w:lineRule="auto"/>
        <w:ind w:left="360"/>
        <w:jc w:val="both"/>
        <w:rPr>
          <w:rFonts w:eastAsia="Times New Roman"/>
          <w:lang w:val="en-SG"/>
        </w:rPr>
      </w:pPr>
    </w:p>
    <w:p w14:paraId="2D4CC274" w14:textId="77777777" w:rsidR="00C977D8" w:rsidRPr="00C977D8" w:rsidRDefault="00C977D8" w:rsidP="003A119B">
      <w:pPr>
        <w:spacing w:after="0" w:line="240" w:lineRule="auto"/>
        <w:ind w:left="360"/>
        <w:jc w:val="both"/>
        <w:rPr>
          <w:rFonts w:eastAsia="Times New Roman"/>
          <w:lang w:val="en-SG"/>
        </w:rPr>
      </w:pPr>
      <w:r w:rsidRPr="00C977D8">
        <w:rPr>
          <w:rFonts w:eastAsia="Times New Roman"/>
          <w:lang w:val="en-SG"/>
        </w:rPr>
        <w:t xml:space="preserve">VASP Act does not include advising clients on virtual assets as one of the services under the definition of virtual asset services. However SIBA amendments 2020 expanded the definition of securities to include virtual assets which can be immediately sold, traded or exchanged with underlying characteristics of securities or derivatives as provided in schedule 1 of SIBA. Entities </w:t>
      </w:r>
      <w:r w:rsidRPr="00C977D8">
        <w:rPr>
          <w:rFonts w:eastAsia="Times New Roman"/>
        </w:rPr>
        <w:t>engaged in advising on virtual assets that qualify as securities are now subject to registration or licensing under the SIBA.</w:t>
      </w:r>
    </w:p>
    <w:p w14:paraId="79124CDC" w14:textId="77777777" w:rsidR="00307AE3" w:rsidRPr="003A119B" w:rsidRDefault="00307AE3" w:rsidP="003A119B">
      <w:pPr>
        <w:spacing w:after="0" w:line="240" w:lineRule="auto"/>
        <w:jc w:val="both"/>
        <w:rPr>
          <w:rFonts w:eastAsia="Times New Roman"/>
        </w:rPr>
      </w:pPr>
    </w:p>
    <w:p w14:paraId="14FBEAF9" w14:textId="6EC387D5" w:rsidR="00B62FFD" w:rsidRPr="003A119B" w:rsidRDefault="002D3DBC" w:rsidP="003A119B">
      <w:pPr>
        <w:numPr>
          <w:ilvl w:val="0"/>
          <w:numId w:val="19"/>
        </w:numPr>
        <w:spacing w:after="0" w:line="240" w:lineRule="auto"/>
        <w:jc w:val="both"/>
        <w:rPr>
          <w:rFonts w:eastAsia="Times New Roman"/>
          <w:b/>
          <w:lang w:val="en-PH"/>
        </w:rPr>
      </w:pPr>
      <w:r w:rsidRPr="003A119B">
        <w:rPr>
          <w:rFonts w:eastAsia="Times New Roman"/>
          <w:b/>
          <w:lang w:val="en-SG"/>
        </w:rPr>
        <w:t>O</w:t>
      </w:r>
      <w:r w:rsidRPr="003A119B">
        <w:rPr>
          <w:rFonts w:eastAsia="Times New Roman"/>
          <w:b/>
          <w:bCs/>
          <w:lang w:val="en-PH"/>
        </w:rPr>
        <w:t>ther relevant regulatory information</w:t>
      </w:r>
    </w:p>
    <w:p w14:paraId="2CBE6496" w14:textId="77777777" w:rsidR="00F53CBD" w:rsidRPr="003A119B" w:rsidRDefault="00F53CBD" w:rsidP="003A119B">
      <w:pPr>
        <w:spacing w:after="0" w:line="240" w:lineRule="auto"/>
        <w:jc w:val="both"/>
        <w:rPr>
          <w:rFonts w:eastAsia="Times New Roman"/>
          <w:b/>
          <w:lang w:val="en-PH"/>
        </w:rPr>
      </w:pPr>
    </w:p>
    <w:p w14:paraId="756CBC5E" w14:textId="0A00B192" w:rsidR="007548A7" w:rsidRPr="003A119B" w:rsidRDefault="007548A7"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there any upcoming regulatory developments in respect of crypto-related activity in </w:t>
      </w:r>
      <w:r w:rsidR="00274C9A" w:rsidRPr="003A119B">
        <w:rPr>
          <w:rFonts w:eastAsia="Times New Roman"/>
          <w:b/>
          <w:bCs/>
          <w:u w:val="single"/>
          <w:lang w:val="en-PH"/>
        </w:rPr>
        <w:t xml:space="preserve">the </w:t>
      </w:r>
      <w:r w:rsidR="00713B35" w:rsidRPr="003A119B">
        <w:rPr>
          <w:rFonts w:eastAsia="Times New Roman"/>
          <w:b/>
          <w:bCs/>
          <w:u w:val="single"/>
          <w:lang w:val="en-GB"/>
        </w:rPr>
        <w:t>Cayman Islands</w:t>
      </w:r>
      <w:r w:rsidRPr="003A119B">
        <w:rPr>
          <w:rFonts w:eastAsia="Times New Roman"/>
          <w:b/>
          <w:bCs/>
          <w:u w:val="single"/>
          <w:lang w:val="en-PH"/>
        </w:rPr>
        <w:t>?</w:t>
      </w:r>
    </w:p>
    <w:p w14:paraId="00B7ED93" w14:textId="77777777" w:rsidR="00F53CBD" w:rsidRPr="003A119B" w:rsidRDefault="00F53CBD" w:rsidP="003A119B">
      <w:pPr>
        <w:spacing w:after="0" w:line="240" w:lineRule="auto"/>
        <w:ind w:left="360"/>
        <w:jc w:val="both"/>
        <w:rPr>
          <w:rFonts w:eastAsia="Times New Roman"/>
          <w:b/>
          <w:bCs/>
          <w:u w:val="single"/>
          <w:lang w:val="en-PH"/>
        </w:rPr>
      </w:pPr>
    </w:p>
    <w:p w14:paraId="14789C9E" w14:textId="11B3DA1E" w:rsidR="00307AE3" w:rsidRPr="003A119B" w:rsidRDefault="00496DF9" w:rsidP="003A119B">
      <w:pPr>
        <w:spacing w:after="0" w:line="240" w:lineRule="auto"/>
        <w:ind w:left="360"/>
        <w:jc w:val="both"/>
        <w:rPr>
          <w:rFonts w:eastAsia="Times New Roman"/>
        </w:rPr>
      </w:pPr>
      <w:r w:rsidRPr="003A119B">
        <w:rPr>
          <w:rFonts w:eastAsia="Times New Roman"/>
        </w:rPr>
        <w:t>No.</w:t>
      </w:r>
    </w:p>
    <w:p w14:paraId="6301B6D3" w14:textId="77777777" w:rsidR="00307AE3" w:rsidRPr="003A119B" w:rsidRDefault="00307AE3" w:rsidP="003A119B">
      <w:pPr>
        <w:spacing w:after="0" w:line="240" w:lineRule="auto"/>
        <w:ind w:left="360"/>
        <w:jc w:val="both"/>
        <w:rPr>
          <w:rFonts w:eastAsia="Times New Roman"/>
        </w:rPr>
      </w:pPr>
    </w:p>
    <w:p w14:paraId="342EFD5E" w14:textId="721D242D" w:rsidR="007548A7" w:rsidRPr="003A119B" w:rsidRDefault="007548A7" w:rsidP="003A119B">
      <w:pPr>
        <w:spacing w:after="0" w:line="240" w:lineRule="auto"/>
        <w:ind w:left="360"/>
        <w:jc w:val="both"/>
        <w:rPr>
          <w:rFonts w:eastAsia="Times New Roman"/>
          <w:b/>
          <w:bCs/>
          <w:u w:val="single"/>
          <w:lang w:val="en-PH"/>
        </w:rPr>
      </w:pPr>
      <w:r w:rsidRPr="003A119B">
        <w:rPr>
          <w:rFonts w:eastAsia="Times New Roman"/>
          <w:b/>
          <w:bCs/>
          <w:u w:val="single"/>
          <w:lang w:val="en-PH"/>
        </w:rPr>
        <w:t>Has there been any notable events in</w:t>
      </w:r>
      <w:r w:rsidR="005F28C8"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 xml:space="preserve">Cayman Islands </w:t>
      </w:r>
      <w:r w:rsidRPr="003A119B">
        <w:rPr>
          <w:rFonts w:eastAsia="Times New Roman"/>
          <w:b/>
          <w:bCs/>
          <w:u w:val="single"/>
          <w:lang w:val="en-PH"/>
        </w:rPr>
        <w:t>that has prompted regulatory change recently?</w:t>
      </w:r>
    </w:p>
    <w:p w14:paraId="0EF84724" w14:textId="77777777" w:rsidR="00F53CBD" w:rsidRPr="003A119B" w:rsidRDefault="00F53CBD" w:rsidP="003A119B">
      <w:pPr>
        <w:spacing w:after="0" w:line="240" w:lineRule="auto"/>
        <w:ind w:left="360"/>
        <w:jc w:val="both"/>
        <w:rPr>
          <w:rFonts w:eastAsia="Times New Roman"/>
          <w:b/>
          <w:bCs/>
          <w:u w:val="single"/>
          <w:lang w:val="en-PH"/>
        </w:rPr>
      </w:pPr>
    </w:p>
    <w:p w14:paraId="4760ABEF" w14:textId="64B7BC46" w:rsidR="00F53CBD" w:rsidRPr="003A119B" w:rsidRDefault="00496DF9" w:rsidP="003A119B">
      <w:pPr>
        <w:spacing w:after="0" w:line="240" w:lineRule="auto"/>
        <w:ind w:left="360"/>
        <w:jc w:val="both"/>
        <w:rPr>
          <w:rFonts w:eastAsia="Times New Roman"/>
        </w:rPr>
      </w:pPr>
      <w:r w:rsidRPr="003A119B">
        <w:rPr>
          <w:rFonts w:eastAsia="Times New Roman"/>
        </w:rPr>
        <w:t>No.</w:t>
      </w:r>
    </w:p>
    <w:p w14:paraId="6125CAE8" w14:textId="77777777" w:rsidR="00307AE3" w:rsidRPr="003A119B" w:rsidRDefault="00307AE3" w:rsidP="003A119B">
      <w:pPr>
        <w:spacing w:after="0" w:line="240" w:lineRule="auto"/>
        <w:ind w:left="360"/>
        <w:jc w:val="both"/>
        <w:rPr>
          <w:rFonts w:eastAsia="Times New Roman"/>
        </w:rPr>
      </w:pPr>
    </w:p>
    <w:p w14:paraId="6DCACBCB" w14:textId="6FCD604B" w:rsidR="007105C9" w:rsidRPr="003A119B" w:rsidRDefault="00342D93"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Pending litigation and judgments related to virtual assets in</w:t>
      </w:r>
      <w:r w:rsidR="003B038F"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 xml:space="preserve">Cayman Islands </w:t>
      </w:r>
      <w:r w:rsidRPr="003A119B">
        <w:rPr>
          <w:rFonts w:eastAsia="Times New Roman"/>
          <w:b/>
          <w:bCs/>
          <w:lang w:val="en-PH"/>
        </w:rPr>
        <w:t>(if any)</w:t>
      </w:r>
    </w:p>
    <w:p w14:paraId="162D3850" w14:textId="77777777" w:rsidR="007105C9" w:rsidRPr="003A119B" w:rsidRDefault="007105C9" w:rsidP="003A119B">
      <w:pPr>
        <w:pStyle w:val="ListParagraph"/>
        <w:spacing w:after="0" w:line="240" w:lineRule="auto"/>
        <w:ind w:left="360"/>
        <w:jc w:val="both"/>
        <w:rPr>
          <w:rFonts w:eastAsia="Times New Roman"/>
          <w:b/>
          <w:bCs/>
          <w:lang w:val="en-PH"/>
        </w:rPr>
      </w:pPr>
    </w:p>
    <w:p w14:paraId="418945F1" w14:textId="77777777" w:rsidR="00122B40" w:rsidRPr="00122B40" w:rsidRDefault="00122B40" w:rsidP="003A119B">
      <w:pPr>
        <w:spacing w:after="0" w:line="240" w:lineRule="auto"/>
        <w:ind w:firstLine="360"/>
        <w:jc w:val="both"/>
        <w:rPr>
          <w:rFonts w:eastAsia="Times New Roman"/>
          <w:lang w:val="en-SG"/>
        </w:rPr>
      </w:pPr>
      <w:r w:rsidRPr="00122B40">
        <w:rPr>
          <w:rFonts w:eastAsia="Times New Roman"/>
          <w:bCs/>
        </w:rPr>
        <w:t>There are no notable judgments or any pending litigation in the jurisdiction.</w:t>
      </w:r>
    </w:p>
    <w:p w14:paraId="7C99EADB" w14:textId="77777777" w:rsidR="00F53CBD" w:rsidRPr="003A119B" w:rsidRDefault="00F53CBD" w:rsidP="003A119B">
      <w:pPr>
        <w:spacing w:after="0" w:line="240" w:lineRule="auto"/>
        <w:jc w:val="both"/>
        <w:rPr>
          <w:rFonts w:eastAsia="Times New Roman"/>
          <w:lang w:val="en-PH"/>
        </w:rPr>
      </w:pPr>
    </w:p>
    <w:p w14:paraId="1F92C80F" w14:textId="5F246143" w:rsidR="00FF627A" w:rsidRPr="003A119B" w:rsidRDefault="00466CEE"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Government outlook on virtual assets and crypto-related activities in</w:t>
      </w:r>
      <w:r w:rsidR="003B038F"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Cayman Islands</w:t>
      </w:r>
    </w:p>
    <w:p w14:paraId="51679481" w14:textId="77777777" w:rsidR="00F53CBD" w:rsidRPr="003A119B" w:rsidRDefault="00F53CBD" w:rsidP="003A119B">
      <w:pPr>
        <w:spacing w:after="0" w:line="240" w:lineRule="auto"/>
        <w:jc w:val="both"/>
        <w:rPr>
          <w:rFonts w:eastAsia="Times New Roman"/>
          <w:b/>
          <w:lang w:val="en-PH"/>
        </w:rPr>
      </w:pPr>
    </w:p>
    <w:p w14:paraId="63A7DD5B" w14:textId="77777777" w:rsidR="009F5654" w:rsidRPr="009F5654" w:rsidRDefault="009F5654" w:rsidP="003A119B">
      <w:pPr>
        <w:spacing w:after="0" w:line="240" w:lineRule="auto"/>
        <w:ind w:left="360"/>
        <w:jc w:val="both"/>
        <w:rPr>
          <w:rFonts w:eastAsia="Times New Roman"/>
          <w:bCs/>
        </w:rPr>
      </w:pPr>
      <w:r w:rsidRPr="009F5654">
        <w:rPr>
          <w:rFonts w:eastAsia="Times New Roman"/>
          <w:bCs/>
        </w:rPr>
        <w:t>The Cayman Islands legal system is rooted in English Common Law which provides stability. The jurisdiction's significant financial and tax incentives for businesses, including the absence of local corporate, income, sales, or capital gains taxes. It is a leading International Financial Center with a stable, pro-business regulatory environment, meeting high anti-money laundering compliance standards. The Cayman Islands provide proximity to the U.S. and global markets, enabling businesses to leverage opportunities and operate within a diverse global team. Foreign ownership is allowed, with no earning criteria, and businesses benefit from world-class infrastructure, including cutting-edge IT, reliable telecommunications, and data centers etc.</w:t>
      </w:r>
    </w:p>
    <w:p w14:paraId="30721708" w14:textId="77777777" w:rsidR="00307AE3" w:rsidRPr="003A119B" w:rsidRDefault="00307AE3" w:rsidP="003A119B">
      <w:pPr>
        <w:spacing w:after="0" w:line="240" w:lineRule="auto"/>
        <w:jc w:val="both"/>
        <w:rPr>
          <w:rFonts w:eastAsia="Times New Roman"/>
          <w:bCs/>
          <w:lang w:val="en-PH"/>
        </w:rPr>
      </w:pPr>
    </w:p>
    <w:p w14:paraId="7D627FAF" w14:textId="6C2D9AD3" w:rsidR="003C68FC" w:rsidRPr="003A119B" w:rsidRDefault="00466CEE"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Advantages of setting up a VASP in</w:t>
      </w:r>
      <w:r w:rsidR="00CF415A"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Cayman Islands</w:t>
      </w:r>
    </w:p>
    <w:p w14:paraId="16A81DBA" w14:textId="77777777" w:rsidR="009F5654" w:rsidRPr="003A119B" w:rsidRDefault="009F5654" w:rsidP="003A119B">
      <w:pPr>
        <w:spacing w:after="0" w:line="240" w:lineRule="auto"/>
        <w:jc w:val="both"/>
        <w:rPr>
          <w:rFonts w:eastAsia="Times New Roman"/>
          <w:b/>
          <w:bCs/>
          <w:lang w:val="en-PH"/>
        </w:rPr>
      </w:pPr>
    </w:p>
    <w:p w14:paraId="6539581F" w14:textId="77777777" w:rsidR="009F5654" w:rsidRPr="009F5654" w:rsidRDefault="009F5654" w:rsidP="003A119B">
      <w:pPr>
        <w:spacing w:after="0" w:line="240" w:lineRule="auto"/>
        <w:ind w:left="360"/>
        <w:jc w:val="both"/>
        <w:rPr>
          <w:rFonts w:eastAsia="Times New Roman"/>
          <w:u w:val="single"/>
        </w:rPr>
      </w:pPr>
      <w:r w:rsidRPr="009F5654">
        <w:rPr>
          <w:rFonts w:eastAsia="Times New Roman"/>
          <w:bCs/>
          <w:u w:val="single"/>
        </w:rPr>
        <w:t>Financial &amp; Tax Incentives:</w:t>
      </w:r>
    </w:p>
    <w:p w14:paraId="63F693F2" w14:textId="77777777" w:rsidR="009F5654" w:rsidRPr="009F5654" w:rsidRDefault="009F5654" w:rsidP="003A119B">
      <w:pPr>
        <w:spacing w:after="0" w:line="240" w:lineRule="auto"/>
        <w:ind w:left="360"/>
        <w:jc w:val="both"/>
        <w:rPr>
          <w:rFonts w:eastAsia="Times New Roman"/>
          <w:i/>
          <w:iCs/>
        </w:rPr>
      </w:pPr>
    </w:p>
    <w:p w14:paraId="0596A055"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Tax Environment:</w:t>
      </w:r>
      <w:r w:rsidRPr="009F5654">
        <w:rPr>
          <w:rFonts w:eastAsia="Times New Roman"/>
        </w:rPr>
        <w:t xml:space="preserve"> The Cayman Islands offer an advantageous tax environment for businesses. There are no local corporate, income, sales, or capital gains taxes, providing a competitive edge in the global market. This allows CEOs and their businesses to operate without the burden of various taxation, fostering a financially favorable climate.</w:t>
      </w:r>
    </w:p>
    <w:p w14:paraId="7E918231" w14:textId="77777777" w:rsidR="009F5654" w:rsidRPr="009F5654" w:rsidRDefault="009F5654" w:rsidP="003A119B">
      <w:pPr>
        <w:spacing w:after="0" w:line="240" w:lineRule="auto"/>
        <w:ind w:left="360"/>
        <w:jc w:val="both"/>
        <w:rPr>
          <w:rFonts w:eastAsia="Times New Roman"/>
          <w:i/>
          <w:iCs/>
        </w:rPr>
      </w:pPr>
    </w:p>
    <w:p w14:paraId="2F3C7D2D"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International Financial Center:</w:t>
      </w:r>
      <w:r w:rsidRPr="009F5654">
        <w:rPr>
          <w:rFonts w:eastAsia="Times New Roman"/>
        </w:rPr>
        <w:t xml:space="preserve"> The Cayman Islands hold the distinction of being one of the world's leading International Financial Centers. It serves as the top hedge fund jurisdiction globally, attracting financial institutions and businesses seeking a robust and reputable financial ecosystem.</w:t>
      </w:r>
    </w:p>
    <w:p w14:paraId="3E9AE610" w14:textId="77777777" w:rsidR="009F5654" w:rsidRPr="009F5654" w:rsidRDefault="009F5654" w:rsidP="003A119B">
      <w:pPr>
        <w:spacing w:after="0" w:line="240" w:lineRule="auto"/>
        <w:ind w:left="360"/>
        <w:jc w:val="both"/>
        <w:rPr>
          <w:rFonts w:eastAsia="Times New Roman"/>
          <w:b/>
          <w:bCs/>
        </w:rPr>
      </w:pPr>
    </w:p>
    <w:p w14:paraId="5778CEED" w14:textId="77777777" w:rsidR="009F5654" w:rsidRPr="009F5654" w:rsidRDefault="009F5654" w:rsidP="003A119B">
      <w:pPr>
        <w:spacing w:after="0" w:line="240" w:lineRule="auto"/>
        <w:ind w:left="360"/>
        <w:jc w:val="both"/>
        <w:rPr>
          <w:rFonts w:eastAsia="Times New Roman"/>
          <w:bCs/>
          <w:u w:val="single"/>
        </w:rPr>
      </w:pPr>
      <w:r w:rsidRPr="009F5654">
        <w:rPr>
          <w:rFonts w:eastAsia="Times New Roman"/>
          <w:bCs/>
          <w:u w:val="single"/>
        </w:rPr>
        <w:t>Stable, Pro-Business Regulatory Environment:</w:t>
      </w:r>
    </w:p>
    <w:p w14:paraId="50A72F24" w14:textId="77777777" w:rsidR="009F5654" w:rsidRPr="009F5654" w:rsidRDefault="009F5654" w:rsidP="003A119B">
      <w:pPr>
        <w:spacing w:after="0" w:line="240" w:lineRule="auto"/>
        <w:ind w:left="360"/>
        <w:jc w:val="both"/>
        <w:rPr>
          <w:rFonts w:eastAsia="Times New Roman"/>
          <w:u w:val="single"/>
        </w:rPr>
      </w:pPr>
    </w:p>
    <w:p w14:paraId="38C85823"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Compliance and Stability:</w:t>
      </w:r>
      <w:r w:rsidRPr="009F5654">
        <w:rPr>
          <w:rFonts w:eastAsia="Times New Roman"/>
        </w:rPr>
        <w:t xml:space="preserve"> Cayman complies with the highest anti-money laundering standards, ensuring a secure financial environment. As a British Overseas Territory, it enjoys stability both politically and economically. The legal system, rooted in English Common Law, provides a solid foundation for businesses seeking regulatory clarity.</w:t>
      </w:r>
    </w:p>
    <w:p w14:paraId="78EA0B4E" w14:textId="77777777" w:rsidR="009F5654" w:rsidRPr="009F5654" w:rsidRDefault="009F5654" w:rsidP="003A119B">
      <w:pPr>
        <w:spacing w:after="0" w:line="240" w:lineRule="auto"/>
        <w:ind w:left="360"/>
        <w:jc w:val="both"/>
        <w:rPr>
          <w:rFonts w:eastAsia="Times New Roman"/>
          <w:i/>
          <w:iCs/>
        </w:rPr>
      </w:pPr>
    </w:p>
    <w:p w14:paraId="45C0B250"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Intellectual Property Protection:</w:t>
      </w:r>
      <w:r w:rsidRPr="009F5654">
        <w:rPr>
          <w:rFonts w:eastAsia="Times New Roman"/>
        </w:rPr>
        <w:t xml:space="preserve"> The jurisdiction boasts comprehensive legislation surrounding intellectual property, assuring businesses that their assets are well-protected. This legal framework enhances confidence in establishing and operating businesses in the Cayman Islands.</w:t>
      </w:r>
    </w:p>
    <w:p w14:paraId="0C856E06" w14:textId="77777777" w:rsidR="009F5654" w:rsidRPr="009F5654" w:rsidRDefault="009F5654" w:rsidP="003A119B">
      <w:pPr>
        <w:spacing w:after="0" w:line="240" w:lineRule="auto"/>
        <w:ind w:left="360"/>
        <w:jc w:val="both"/>
        <w:rPr>
          <w:rFonts w:eastAsia="Times New Roman"/>
          <w:i/>
          <w:iCs/>
        </w:rPr>
      </w:pPr>
    </w:p>
    <w:p w14:paraId="75DA902D"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Concessions for Cayman Enterprise City:</w:t>
      </w:r>
      <w:r w:rsidRPr="009F5654">
        <w:rPr>
          <w:rFonts w:eastAsia="Times New Roman"/>
        </w:rPr>
        <w:t xml:space="preserve"> Businesses establishing themselves through Cayman Enterprise City receive concessions, streamlining the set-up process. This initiative aims to make it quick, easy, and cost-effective for global businesses to operate within the jurisdiction.</w:t>
      </w:r>
    </w:p>
    <w:p w14:paraId="5CDA10CC" w14:textId="77777777" w:rsidR="009F5654" w:rsidRPr="009F5654" w:rsidRDefault="009F5654" w:rsidP="003A119B">
      <w:pPr>
        <w:spacing w:after="0" w:line="240" w:lineRule="auto"/>
        <w:ind w:left="360"/>
        <w:jc w:val="both"/>
        <w:rPr>
          <w:rFonts w:eastAsia="Times New Roman"/>
          <w:b/>
          <w:bCs/>
        </w:rPr>
      </w:pPr>
    </w:p>
    <w:p w14:paraId="34C34517" w14:textId="77777777" w:rsidR="009F5654" w:rsidRPr="009F5654" w:rsidRDefault="009F5654" w:rsidP="003A119B">
      <w:pPr>
        <w:spacing w:after="0" w:line="240" w:lineRule="auto"/>
        <w:ind w:left="360"/>
        <w:jc w:val="both"/>
        <w:rPr>
          <w:rFonts w:eastAsia="Times New Roman"/>
          <w:bCs/>
          <w:u w:val="single"/>
        </w:rPr>
      </w:pPr>
      <w:r w:rsidRPr="009F5654">
        <w:rPr>
          <w:rFonts w:eastAsia="Times New Roman"/>
          <w:bCs/>
          <w:u w:val="single"/>
        </w:rPr>
        <w:t>Proximity to U.S and Global Markets:</w:t>
      </w:r>
    </w:p>
    <w:p w14:paraId="423E5B2C" w14:textId="77777777" w:rsidR="009F5654" w:rsidRPr="009F5654" w:rsidRDefault="009F5654" w:rsidP="003A119B">
      <w:pPr>
        <w:spacing w:after="0" w:line="240" w:lineRule="auto"/>
        <w:ind w:left="360"/>
        <w:jc w:val="both"/>
        <w:rPr>
          <w:rFonts w:eastAsia="Times New Roman"/>
        </w:rPr>
      </w:pPr>
    </w:p>
    <w:p w14:paraId="6D3C7C53"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Geographical Advantage:</w:t>
      </w:r>
      <w:r w:rsidRPr="009F5654">
        <w:rPr>
          <w:rFonts w:eastAsia="Times New Roman"/>
        </w:rPr>
        <w:t xml:space="preserve"> The Cayman Islands' strategic location, just an hour away from the U.S. by plane, offers businesses unique advantages. This proximity facilitates efficient engagement with U.S. opportunities, allowing companies to work within a diverse global team while benefiting from the stability and protections of UK laws.</w:t>
      </w:r>
    </w:p>
    <w:p w14:paraId="447A7815" w14:textId="77777777" w:rsidR="009F5654" w:rsidRPr="009F5654" w:rsidRDefault="009F5654" w:rsidP="003A119B">
      <w:pPr>
        <w:spacing w:after="0" w:line="240" w:lineRule="auto"/>
        <w:ind w:left="360"/>
        <w:jc w:val="both"/>
        <w:rPr>
          <w:rFonts w:eastAsia="Times New Roman"/>
          <w:b/>
          <w:bCs/>
        </w:rPr>
      </w:pPr>
    </w:p>
    <w:p w14:paraId="295DA841" w14:textId="77777777" w:rsidR="009F5654" w:rsidRPr="009F5654" w:rsidRDefault="009F5654" w:rsidP="003A119B">
      <w:pPr>
        <w:spacing w:after="0" w:line="240" w:lineRule="auto"/>
        <w:ind w:left="360"/>
        <w:jc w:val="both"/>
        <w:rPr>
          <w:rFonts w:eastAsia="Times New Roman"/>
          <w:bCs/>
          <w:u w:val="single"/>
        </w:rPr>
      </w:pPr>
      <w:r w:rsidRPr="009F5654">
        <w:rPr>
          <w:rFonts w:eastAsia="Times New Roman"/>
          <w:bCs/>
          <w:u w:val="single"/>
        </w:rPr>
        <w:t>Foreign Ownership and No Earning Criteria:</w:t>
      </w:r>
    </w:p>
    <w:p w14:paraId="090C8B4D" w14:textId="77777777" w:rsidR="009F5654" w:rsidRPr="009F5654" w:rsidRDefault="009F5654" w:rsidP="003A119B">
      <w:pPr>
        <w:spacing w:after="0" w:line="240" w:lineRule="auto"/>
        <w:ind w:left="360"/>
        <w:jc w:val="both"/>
        <w:rPr>
          <w:rFonts w:eastAsia="Times New Roman"/>
        </w:rPr>
      </w:pPr>
    </w:p>
    <w:p w14:paraId="4148B99A"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Global Corporate Citizen Program:</w:t>
      </w:r>
      <w:r w:rsidRPr="009F5654">
        <w:rPr>
          <w:rFonts w:eastAsia="Times New Roman"/>
        </w:rPr>
        <w:t xml:space="preserve"> Those officially designated as corporate personnel in the Cayman Enterprise City can participate in the Global Corporate Citizen Program. This program allows for 100% foreign ownership, enabling businesses to operate globally using a Zone Trade Certificate.</w:t>
      </w:r>
    </w:p>
    <w:p w14:paraId="1E051E5E" w14:textId="77777777" w:rsidR="009F5654" w:rsidRPr="009F5654" w:rsidRDefault="009F5654" w:rsidP="003A119B">
      <w:pPr>
        <w:spacing w:after="0" w:line="240" w:lineRule="auto"/>
        <w:ind w:left="360"/>
        <w:jc w:val="both"/>
        <w:rPr>
          <w:rFonts w:eastAsia="Times New Roman"/>
          <w:i/>
          <w:iCs/>
        </w:rPr>
      </w:pPr>
    </w:p>
    <w:p w14:paraId="456AB252"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Flexibility in Staffing:</w:t>
      </w:r>
      <w:r w:rsidRPr="009F5654">
        <w:rPr>
          <w:rFonts w:eastAsia="Times New Roman"/>
        </w:rPr>
        <w:t xml:space="preserve"> The absence of earning criteria means that businesses, including C-suite executives, can operate without specific financial benchmarks, providing flexibility in staffing and operations.</w:t>
      </w:r>
    </w:p>
    <w:p w14:paraId="2947DA25" w14:textId="77777777" w:rsidR="009F5654" w:rsidRPr="009F5654" w:rsidRDefault="009F5654" w:rsidP="003A119B">
      <w:pPr>
        <w:spacing w:after="0" w:line="240" w:lineRule="auto"/>
        <w:ind w:left="360"/>
        <w:jc w:val="both"/>
        <w:rPr>
          <w:rFonts w:eastAsia="Times New Roman"/>
          <w:b/>
          <w:bCs/>
        </w:rPr>
      </w:pPr>
    </w:p>
    <w:p w14:paraId="44887590" w14:textId="77777777" w:rsidR="009F5654" w:rsidRPr="009F5654" w:rsidRDefault="009F5654" w:rsidP="003A119B">
      <w:pPr>
        <w:spacing w:after="0" w:line="240" w:lineRule="auto"/>
        <w:ind w:left="360"/>
        <w:jc w:val="both"/>
        <w:rPr>
          <w:rFonts w:eastAsia="Times New Roman"/>
          <w:u w:val="single"/>
        </w:rPr>
      </w:pPr>
      <w:r w:rsidRPr="009F5654">
        <w:rPr>
          <w:rFonts w:eastAsia="Times New Roman"/>
          <w:bCs/>
          <w:u w:val="single"/>
        </w:rPr>
        <w:t>World-Class Infrastructure:</w:t>
      </w:r>
    </w:p>
    <w:p w14:paraId="4212F106" w14:textId="77777777" w:rsidR="009F5654" w:rsidRPr="009F5654" w:rsidRDefault="009F5654" w:rsidP="003A119B">
      <w:pPr>
        <w:spacing w:after="0" w:line="240" w:lineRule="auto"/>
        <w:ind w:left="360"/>
        <w:jc w:val="both"/>
        <w:rPr>
          <w:rFonts w:eastAsia="Times New Roman"/>
          <w:i/>
          <w:iCs/>
        </w:rPr>
      </w:pPr>
    </w:p>
    <w:p w14:paraId="6BB5599B" w14:textId="77777777" w:rsidR="009F5654" w:rsidRPr="009F5654" w:rsidRDefault="009F5654" w:rsidP="003A119B">
      <w:pPr>
        <w:spacing w:after="0" w:line="240" w:lineRule="auto"/>
        <w:ind w:left="360"/>
        <w:jc w:val="both"/>
        <w:rPr>
          <w:rFonts w:eastAsia="Times New Roman"/>
        </w:rPr>
      </w:pPr>
      <w:r w:rsidRPr="009F5654">
        <w:rPr>
          <w:rFonts w:eastAsia="Times New Roman"/>
          <w:i/>
          <w:iCs/>
        </w:rPr>
        <w:t>Cutting-Edge IT and Infrastructure:</w:t>
      </w:r>
      <w:r w:rsidRPr="009F5654">
        <w:rPr>
          <w:rFonts w:eastAsia="Times New Roman"/>
        </w:rPr>
        <w:t xml:space="preserve"> The Cayman Islands lead in terms of infrastructure in the Caribbean. Special Economic Zones (SEZs) offer cutting-edge IT infrastructure for businesses to leverage. This includes offshore hosting, payment gateways, high-speed Internet, reliable cell service, and two Tier-3 data centers.</w:t>
      </w:r>
    </w:p>
    <w:p w14:paraId="6A840178" w14:textId="77777777" w:rsidR="009F5654" w:rsidRDefault="009F5654" w:rsidP="009F5654">
      <w:pPr>
        <w:spacing w:after="0" w:line="240" w:lineRule="auto"/>
        <w:jc w:val="both"/>
        <w:rPr>
          <w:rFonts w:eastAsia="Times New Roman"/>
          <w:lang w:val="en-PH"/>
        </w:rPr>
      </w:pPr>
    </w:p>
    <w:p w14:paraId="44C9EA3B" w14:textId="77777777" w:rsidR="006A7D91" w:rsidRPr="009F5654" w:rsidRDefault="006A7D91" w:rsidP="009F5654">
      <w:pPr>
        <w:spacing w:after="0" w:line="240" w:lineRule="auto"/>
        <w:jc w:val="both"/>
        <w:rPr>
          <w:rFonts w:eastAsia="Times New Roman"/>
          <w:lang w:val="en-PH"/>
        </w:rPr>
      </w:pPr>
    </w:p>
    <w:p w14:paraId="09EF0985" w14:textId="77777777" w:rsidR="00CE5C76" w:rsidRDefault="00CE5C76" w:rsidP="00D5775C">
      <w:pPr>
        <w:jc w:val="both"/>
        <w:rPr>
          <w:rFonts w:eastAsia="Times New Roman"/>
          <w:i/>
          <w:lang w:val="en-SG"/>
        </w:rPr>
      </w:pPr>
    </w:p>
    <w:p w14:paraId="0E4F3955" w14:textId="77777777" w:rsidR="005830BD" w:rsidRDefault="005830BD" w:rsidP="00D5775C">
      <w:pPr>
        <w:jc w:val="both"/>
        <w:rPr>
          <w:rFonts w:eastAsia="Times New Roman"/>
          <w:i/>
          <w:lang w:val="en-SG"/>
        </w:rPr>
      </w:pPr>
    </w:p>
    <w:p w14:paraId="7A214726" w14:textId="77777777" w:rsidR="005830BD" w:rsidRDefault="005830BD" w:rsidP="00D5775C">
      <w:pPr>
        <w:jc w:val="both"/>
        <w:rPr>
          <w:rFonts w:eastAsia="Times New Roman"/>
          <w:i/>
          <w:lang w:val="en-SG"/>
        </w:rPr>
      </w:pPr>
    </w:p>
    <w:p w14:paraId="26C99C4C" w14:textId="77777777" w:rsidR="005830BD" w:rsidRDefault="005830BD" w:rsidP="00D5775C">
      <w:pPr>
        <w:jc w:val="both"/>
        <w:rPr>
          <w:rFonts w:eastAsia="Times New Roman"/>
          <w:i/>
          <w:lang w:val="en-SG"/>
        </w:rPr>
      </w:pPr>
    </w:p>
    <w:p w14:paraId="3C7A5210" w14:textId="77777777" w:rsidR="005830BD" w:rsidRDefault="005830BD" w:rsidP="00D5775C">
      <w:pPr>
        <w:jc w:val="both"/>
        <w:rPr>
          <w:rFonts w:eastAsia="Times New Roman"/>
          <w:i/>
          <w:lang w:val="en-SG"/>
        </w:rPr>
      </w:pPr>
    </w:p>
    <w:p w14:paraId="29B29375" w14:textId="77777777" w:rsidR="005830BD" w:rsidRDefault="005830BD" w:rsidP="00D5775C">
      <w:pPr>
        <w:jc w:val="both"/>
        <w:rPr>
          <w:rFonts w:eastAsia="Times New Roman"/>
          <w:i/>
          <w:lang w:val="en-SG"/>
        </w:rPr>
      </w:pPr>
    </w:p>
    <w:p w14:paraId="34BA5131" w14:textId="77777777" w:rsidR="005830BD" w:rsidRDefault="005830BD" w:rsidP="00D5775C">
      <w:pPr>
        <w:jc w:val="both"/>
        <w:rPr>
          <w:rFonts w:eastAsia="Times New Roman"/>
          <w:i/>
          <w:lang w:val="en-SG"/>
        </w:rPr>
      </w:pPr>
    </w:p>
    <w:p w14:paraId="4FFDD79C" w14:textId="77777777" w:rsidR="005830BD" w:rsidRDefault="005830BD" w:rsidP="00D5775C">
      <w:pPr>
        <w:jc w:val="both"/>
        <w:rPr>
          <w:rFonts w:eastAsia="Times New Roman"/>
          <w:i/>
          <w:lang w:val="en-SG"/>
        </w:rPr>
      </w:pPr>
    </w:p>
    <w:p w14:paraId="75FCDF1F" w14:textId="77777777" w:rsidR="005830BD" w:rsidRDefault="005830BD" w:rsidP="00D5775C">
      <w:pPr>
        <w:jc w:val="both"/>
        <w:rPr>
          <w:rFonts w:eastAsia="Times New Roman"/>
          <w:i/>
          <w:lang w:val="en-SG"/>
        </w:rPr>
      </w:pPr>
    </w:p>
    <w:p w14:paraId="4444EE34" w14:textId="77777777" w:rsidR="005830BD" w:rsidRDefault="005830BD" w:rsidP="00D5775C">
      <w:pPr>
        <w:jc w:val="both"/>
        <w:rPr>
          <w:rFonts w:eastAsia="Times New Roman"/>
          <w:i/>
          <w:lang w:val="en-SG"/>
        </w:rPr>
      </w:pPr>
    </w:p>
    <w:p w14:paraId="0F1AD480" w14:textId="77777777" w:rsidR="005830BD" w:rsidRDefault="005830BD" w:rsidP="00D5775C">
      <w:pPr>
        <w:jc w:val="both"/>
        <w:rPr>
          <w:rFonts w:eastAsia="Times New Roman"/>
          <w:i/>
          <w:lang w:val="en-SG"/>
        </w:rPr>
      </w:pPr>
    </w:p>
    <w:p w14:paraId="07150141" w14:textId="77777777" w:rsidR="005830BD" w:rsidRDefault="005830BD" w:rsidP="00D5775C">
      <w:pPr>
        <w:jc w:val="both"/>
        <w:rPr>
          <w:rFonts w:eastAsia="Times New Roman"/>
          <w:i/>
          <w:lang w:val="en-SG"/>
        </w:rPr>
      </w:pPr>
    </w:p>
    <w:p w14:paraId="19B63D52" w14:textId="77777777" w:rsidR="005830BD" w:rsidRDefault="005830BD" w:rsidP="00D5775C">
      <w:pPr>
        <w:jc w:val="both"/>
        <w:rPr>
          <w:rFonts w:eastAsia="Times New Roman"/>
          <w:i/>
          <w:lang w:val="en-SG"/>
        </w:rPr>
      </w:pPr>
    </w:p>
    <w:p w14:paraId="67A6C710" w14:textId="77777777" w:rsidR="005830BD" w:rsidRDefault="005830BD" w:rsidP="00D5775C">
      <w:pPr>
        <w:jc w:val="both"/>
        <w:rPr>
          <w:rFonts w:eastAsia="Times New Roman"/>
          <w:i/>
          <w:lang w:val="en-SG"/>
        </w:rPr>
      </w:pPr>
    </w:p>
    <w:p w14:paraId="5E6BC3A0" w14:textId="77777777" w:rsidR="005830BD" w:rsidRDefault="005830BD" w:rsidP="00D5775C">
      <w:pPr>
        <w:jc w:val="both"/>
        <w:rPr>
          <w:rFonts w:eastAsia="Times New Roman"/>
          <w:i/>
          <w:lang w:val="en-SG"/>
        </w:rPr>
      </w:pPr>
    </w:p>
    <w:p w14:paraId="09B0E04F" w14:textId="77777777" w:rsidR="003A119B" w:rsidRPr="00FF627A" w:rsidRDefault="003A119B"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2CC2796" w:rsidR="00A57542" w:rsidRPr="00A405AA" w:rsidRDefault="00B4763A" w:rsidP="00A405AA">
      <w:pPr>
        <w:shd w:val="clear" w:color="auto" w:fill="000000"/>
        <w:spacing w:after="200"/>
        <w:jc w:val="center"/>
        <w:rPr>
          <w:rFonts w:ascii="Arial" w:eastAsia="Cambria" w:hAnsi="Arial" w:cs="Arial"/>
          <w:color w:val="FFFFFF"/>
          <w:lang w:val="en-GB"/>
        </w:rPr>
      </w:pPr>
      <w:bookmarkStart w:id="2"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
      <w:r w:rsidR="00CC5439">
        <w:rPr>
          <w:rFonts w:ascii="Arial" w:eastAsia="Cambria" w:hAnsi="Arial" w:cs="Arial"/>
          <w:color w:val="FFFFFF"/>
          <w:lang w:val="en-GB"/>
        </w:rPr>
        <w:t>Cayman Islands</w:t>
      </w:r>
      <w:r w:rsidR="00BA6AE6" w:rsidRPr="00BA6AE6">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sectPr w:rsidR="00A57542" w:rsidRPr="00A405AA" w:rsidSect="00D1239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16611" w14:textId="77777777" w:rsidR="00E848C1" w:rsidRDefault="00E848C1" w:rsidP="005A6CCC">
      <w:pPr>
        <w:spacing w:after="0" w:line="240" w:lineRule="auto"/>
      </w:pPr>
      <w:r>
        <w:separator/>
      </w:r>
    </w:p>
  </w:endnote>
  <w:endnote w:type="continuationSeparator" w:id="0">
    <w:p w14:paraId="4DA69115" w14:textId="77777777" w:rsidR="00E848C1" w:rsidRDefault="00E848C1"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9BF4" w14:textId="77777777" w:rsidR="00E848C1" w:rsidRDefault="00E848C1" w:rsidP="005A6CCC">
      <w:pPr>
        <w:spacing w:after="0" w:line="240" w:lineRule="auto"/>
      </w:pPr>
      <w:r>
        <w:separator/>
      </w:r>
    </w:p>
  </w:footnote>
  <w:footnote w:type="continuationSeparator" w:id="0">
    <w:p w14:paraId="1B88A934" w14:textId="77777777" w:rsidR="00E848C1" w:rsidRDefault="00E848C1"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2312E36"/>
    <w:multiLevelType w:val="hybridMultilevel"/>
    <w:tmpl w:val="2E04C796"/>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78948B4"/>
    <w:multiLevelType w:val="hybridMultilevel"/>
    <w:tmpl w:val="FE243A7E"/>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9"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27E653A"/>
    <w:multiLevelType w:val="hybridMultilevel"/>
    <w:tmpl w:val="5CBC1DF4"/>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3EA78C0"/>
    <w:multiLevelType w:val="hybridMultilevel"/>
    <w:tmpl w:val="26C0DE4E"/>
    <w:lvl w:ilvl="0" w:tplc="99DE578E">
      <w:start w:val="1"/>
      <w:numFmt w:val="lowerRoman"/>
      <w:lvlText w:val="(%1)"/>
      <w:lvlJc w:val="lef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9362CB"/>
    <w:multiLevelType w:val="hybridMultilevel"/>
    <w:tmpl w:val="A4EC957C"/>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4"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2"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3"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1EA7B1B"/>
    <w:multiLevelType w:val="hybridMultilevel"/>
    <w:tmpl w:val="20720C78"/>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1"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8"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4E52701B"/>
    <w:multiLevelType w:val="hybridMultilevel"/>
    <w:tmpl w:val="3D2877A4"/>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3"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4"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9"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1"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1"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2"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FA347E"/>
    <w:multiLevelType w:val="hybridMultilevel"/>
    <w:tmpl w:val="8512A1DA"/>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A5A5D02"/>
    <w:multiLevelType w:val="hybridMultilevel"/>
    <w:tmpl w:val="498002E0"/>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9"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72224026"/>
    <w:multiLevelType w:val="hybridMultilevel"/>
    <w:tmpl w:val="B5921BE2"/>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8"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1"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2"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3"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5"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6"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03"/>
  </w:num>
  <w:num w:numId="3" w16cid:durableId="973294829">
    <w:abstractNumId w:val="25"/>
  </w:num>
  <w:num w:numId="4" w16cid:durableId="555043017">
    <w:abstractNumId w:val="0"/>
  </w:num>
  <w:num w:numId="5" w16cid:durableId="1115052401">
    <w:abstractNumId w:val="117"/>
  </w:num>
  <w:num w:numId="6" w16cid:durableId="1355031481">
    <w:abstractNumId w:val="75"/>
  </w:num>
  <w:num w:numId="7" w16cid:durableId="2017657778">
    <w:abstractNumId w:val="82"/>
  </w:num>
  <w:num w:numId="8" w16cid:durableId="216361102">
    <w:abstractNumId w:val="62"/>
  </w:num>
  <w:num w:numId="9" w16cid:durableId="604732300">
    <w:abstractNumId w:val="89"/>
  </w:num>
  <w:num w:numId="10" w16cid:durableId="1132018037">
    <w:abstractNumId w:val="7"/>
  </w:num>
  <w:num w:numId="11" w16cid:durableId="1221555931">
    <w:abstractNumId w:val="107"/>
  </w:num>
  <w:num w:numId="12" w16cid:durableId="1092899972">
    <w:abstractNumId w:val="15"/>
  </w:num>
  <w:num w:numId="13" w16cid:durableId="1963459333">
    <w:abstractNumId w:val="3"/>
  </w:num>
  <w:num w:numId="14" w16cid:durableId="661202714">
    <w:abstractNumId w:val="87"/>
    <w:lvlOverride w:ilvl="0">
      <w:lvl w:ilvl="0">
        <w:numFmt w:val="lowerRoman"/>
        <w:lvlText w:val="%1."/>
        <w:lvlJc w:val="right"/>
      </w:lvl>
    </w:lvlOverride>
  </w:num>
  <w:num w:numId="15" w16cid:durableId="1415124718">
    <w:abstractNumId w:val="87"/>
    <w:lvlOverride w:ilvl="0">
      <w:lvl w:ilvl="0">
        <w:numFmt w:val="lowerRoman"/>
        <w:lvlText w:val="%1."/>
        <w:lvlJc w:val="right"/>
      </w:lvl>
    </w:lvlOverride>
  </w:num>
  <w:num w:numId="16" w16cid:durableId="356656828">
    <w:abstractNumId w:val="87"/>
    <w:lvlOverride w:ilvl="0">
      <w:lvl w:ilvl="0">
        <w:numFmt w:val="lowerRoman"/>
        <w:lvlText w:val="%1."/>
        <w:lvlJc w:val="right"/>
      </w:lvl>
    </w:lvlOverride>
  </w:num>
  <w:num w:numId="17" w16cid:durableId="1517766985">
    <w:abstractNumId w:val="87"/>
    <w:lvlOverride w:ilvl="0">
      <w:lvl w:ilvl="0">
        <w:numFmt w:val="lowerRoman"/>
        <w:lvlText w:val="%1."/>
        <w:lvlJc w:val="right"/>
      </w:lvl>
    </w:lvlOverride>
  </w:num>
  <w:num w:numId="18" w16cid:durableId="660040616">
    <w:abstractNumId w:val="73"/>
  </w:num>
  <w:num w:numId="19" w16cid:durableId="6102727">
    <w:abstractNumId w:val="36"/>
  </w:num>
  <w:num w:numId="20" w16cid:durableId="1493520641">
    <w:abstractNumId w:val="55"/>
  </w:num>
  <w:num w:numId="21" w16cid:durableId="394161690">
    <w:abstractNumId w:val="26"/>
  </w:num>
  <w:num w:numId="22" w16cid:durableId="117797974">
    <w:abstractNumId w:val="46"/>
  </w:num>
  <w:num w:numId="23" w16cid:durableId="639926122">
    <w:abstractNumId w:val="9"/>
  </w:num>
  <w:num w:numId="24" w16cid:durableId="135998681">
    <w:abstractNumId w:val="101"/>
  </w:num>
  <w:num w:numId="25" w16cid:durableId="688526435">
    <w:abstractNumId w:val="50"/>
  </w:num>
  <w:num w:numId="26" w16cid:durableId="362293807">
    <w:abstractNumId w:val="29"/>
  </w:num>
  <w:num w:numId="27" w16cid:durableId="958680568">
    <w:abstractNumId w:val="74"/>
  </w:num>
  <w:num w:numId="28" w16cid:durableId="904878562">
    <w:abstractNumId w:val="96"/>
  </w:num>
  <w:num w:numId="29" w16cid:durableId="852308163">
    <w:abstractNumId w:val="78"/>
  </w:num>
  <w:num w:numId="30" w16cid:durableId="1558203664">
    <w:abstractNumId w:val="16"/>
  </w:num>
  <w:num w:numId="31" w16cid:durableId="1357654313">
    <w:abstractNumId w:val="52"/>
  </w:num>
  <w:num w:numId="32" w16cid:durableId="796682089">
    <w:abstractNumId w:val="114"/>
  </w:num>
  <w:num w:numId="33" w16cid:durableId="683823723">
    <w:abstractNumId w:val="18"/>
  </w:num>
  <w:num w:numId="34" w16cid:durableId="1331644596">
    <w:abstractNumId w:val="102"/>
  </w:num>
  <w:num w:numId="35" w16cid:durableId="734859854">
    <w:abstractNumId w:val="86"/>
  </w:num>
  <w:num w:numId="36" w16cid:durableId="1007753894">
    <w:abstractNumId w:val="92"/>
  </w:num>
  <w:num w:numId="37" w16cid:durableId="1616332326">
    <w:abstractNumId w:val="109"/>
  </w:num>
  <w:num w:numId="38" w16cid:durableId="1219364039">
    <w:abstractNumId w:val="95"/>
  </w:num>
  <w:num w:numId="39" w16cid:durableId="1146123947">
    <w:abstractNumId w:val="67"/>
  </w:num>
  <w:num w:numId="40" w16cid:durableId="1034310070">
    <w:abstractNumId w:val="10"/>
  </w:num>
  <w:num w:numId="41" w16cid:durableId="1346057356">
    <w:abstractNumId w:val="17"/>
  </w:num>
  <w:num w:numId="42" w16cid:durableId="564488692">
    <w:abstractNumId w:val="22"/>
  </w:num>
  <w:num w:numId="43" w16cid:durableId="2112242200">
    <w:abstractNumId w:val="118"/>
  </w:num>
  <w:num w:numId="44" w16cid:durableId="799038119">
    <w:abstractNumId w:val="110"/>
  </w:num>
  <w:num w:numId="45" w16cid:durableId="1818255105">
    <w:abstractNumId w:val="91"/>
  </w:num>
  <w:num w:numId="46" w16cid:durableId="512110092">
    <w:abstractNumId w:val="44"/>
  </w:num>
  <w:num w:numId="47" w16cid:durableId="720789790">
    <w:abstractNumId w:val="113"/>
  </w:num>
  <w:num w:numId="48" w16cid:durableId="1305426124">
    <w:abstractNumId w:val="23"/>
  </w:num>
  <w:num w:numId="49" w16cid:durableId="751048207">
    <w:abstractNumId w:val="41"/>
  </w:num>
  <w:num w:numId="50" w16cid:durableId="227305721">
    <w:abstractNumId w:val="97"/>
  </w:num>
  <w:num w:numId="51" w16cid:durableId="861165860">
    <w:abstractNumId w:val="85"/>
  </w:num>
  <w:num w:numId="52" w16cid:durableId="535626006">
    <w:abstractNumId w:val="104"/>
  </w:num>
  <w:num w:numId="53" w16cid:durableId="731079423">
    <w:abstractNumId w:val="63"/>
  </w:num>
  <w:num w:numId="54" w16cid:durableId="984434126">
    <w:abstractNumId w:val="60"/>
  </w:num>
  <w:num w:numId="55" w16cid:durableId="63527782">
    <w:abstractNumId w:val="28"/>
  </w:num>
  <w:num w:numId="56" w16cid:durableId="1455179136">
    <w:abstractNumId w:val="4"/>
  </w:num>
  <w:num w:numId="57" w16cid:durableId="474345">
    <w:abstractNumId w:val="98"/>
  </w:num>
  <w:num w:numId="58" w16cid:durableId="1526944901">
    <w:abstractNumId w:val="61"/>
  </w:num>
  <w:num w:numId="59" w16cid:durableId="489828019">
    <w:abstractNumId w:val="76"/>
  </w:num>
  <w:num w:numId="60" w16cid:durableId="799765859">
    <w:abstractNumId w:val="43"/>
  </w:num>
  <w:num w:numId="61" w16cid:durableId="1154948242">
    <w:abstractNumId w:val="51"/>
  </w:num>
  <w:num w:numId="62" w16cid:durableId="747772854">
    <w:abstractNumId w:val="66"/>
  </w:num>
  <w:num w:numId="63" w16cid:durableId="1713143087">
    <w:abstractNumId w:val="80"/>
  </w:num>
  <w:num w:numId="64" w16cid:durableId="1025669133">
    <w:abstractNumId w:val="83"/>
  </w:num>
  <w:num w:numId="65" w16cid:durableId="777144821">
    <w:abstractNumId w:val="6"/>
  </w:num>
  <w:num w:numId="66" w16cid:durableId="1925530114">
    <w:abstractNumId w:val="21"/>
  </w:num>
  <w:num w:numId="67" w16cid:durableId="99179454">
    <w:abstractNumId w:val="88"/>
  </w:num>
  <w:num w:numId="68" w16cid:durableId="1652294814">
    <w:abstractNumId w:val="59"/>
  </w:num>
  <w:num w:numId="69" w16cid:durableId="1906914522">
    <w:abstractNumId w:val="84"/>
  </w:num>
  <w:num w:numId="70" w16cid:durableId="270943950">
    <w:abstractNumId w:val="27"/>
  </w:num>
  <w:num w:numId="71" w16cid:durableId="275066528">
    <w:abstractNumId w:val="112"/>
  </w:num>
  <w:num w:numId="72" w16cid:durableId="1795253278">
    <w:abstractNumId w:val="39"/>
  </w:num>
  <w:num w:numId="73" w16cid:durableId="1074278500">
    <w:abstractNumId w:val="48"/>
  </w:num>
  <w:num w:numId="74" w16cid:durableId="1911453254">
    <w:abstractNumId w:val="30"/>
  </w:num>
  <w:num w:numId="75" w16cid:durableId="1926304553">
    <w:abstractNumId w:val="72"/>
  </w:num>
  <w:num w:numId="76" w16cid:durableId="1652059670">
    <w:abstractNumId w:val="34"/>
  </w:num>
  <w:num w:numId="77" w16cid:durableId="1595285980">
    <w:abstractNumId w:val="49"/>
  </w:num>
  <w:num w:numId="78" w16cid:durableId="634023094">
    <w:abstractNumId w:val="71"/>
  </w:num>
  <w:num w:numId="79" w16cid:durableId="720784918">
    <w:abstractNumId w:val="111"/>
  </w:num>
  <w:num w:numId="80" w16cid:durableId="43647333">
    <w:abstractNumId w:val="45"/>
  </w:num>
  <w:num w:numId="81" w16cid:durableId="222176698">
    <w:abstractNumId w:val="58"/>
  </w:num>
  <w:num w:numId="82" w16cid:durableId="2094931598">
    <w:abstractNumId w:val="81"/>
  </w:num>
  <w:num w:numId="83" w16cid:durableId="1972905541">
    <w:abstractNumId w:val="56"/>
  </w:num>
  <w:num w:numId="84" w16cid:durableId="1159543969">
    <w:abstractNumId w:val="53"/>
  </w:num>
  <w:num w:numId="85" w16cid:durableId="972371015">
    <w:abstractNumId w:val="54"/>
  </w:num>
  <w:num w:numId="86" w16cid:durableId="1623224274">
    <w:abstractNumId w:val="31"/>
  </w:num>
  <w:num w:numId="87" w16cid:durableId="2121873689">
    <w:abstractNumId w:val="69"/>
  </w:num>
  <w:num w:numId="88" w16cid:durableId="1998532149">
    <w:abstractNumId w:val="106"/>
  </w:num>
  <w:num w:numId="89" w16cid:durableId="147131339">
    <w:abstractNumId w:val="12"/>
  </w:num>
  <w:num w:numId="90" w16cid:durableId="403262281">
    <w:abstractNumId w:val="115"/>
  </w:num>
  <w:num w:numId="91" w16cid:durableId="658844130">
    <w:abstractNumId w:val="37"/>
  </w:num>
  <w:num w:numId="92" w16cid:durableId="1687714056">
    <w:abstractNumId w:val="108"/>
  </w:num>
  <w:num w:numId="93" w16cid:durableId="352614745">
    <w:abstractNumId w:val="68"/>
  </w:num>
  <w:num w:numId="94" w16cid:durableId="726419137">
    <w:abstractNumId w:val="64"/>
  </w:num>
  <w:num w:numId="95" w16cid:durableId="2072189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90"/>
  </w:num>
  <w:num w:numId="99" w16cid:durableId="1881281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2"/>
  </w:num>
  <w:num w:numId="107" w16cid:durableId="803427245">
    <w:abstractNumId w:val="47"/>
  </w:num>
  <w:num w:numId="108" w16cid:durableId="667055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3401400">
    <w:abstractNumId w:val="93"/>
  </w:num>
  <w:num w:numId="115" w16cid:durableId="1040788784">
    <w:abstractNumId w:val="70"/>
  </w:num>
  <w:num w:numId="116" w16cid:durableId="126972161">
    <w:abstractNumId w:val="57"/>
  </w:num>
  <w:num w:numId="117" w16cid:durableId="1070883659">
    <w:abstractNumId w:val="35"/>
  </w:num>
  <w:num w:numId="118" w16cid:durableId="1370492198">
    <w:abstractNumId w:val="94"/>
  </w:num>
  <w:num w:numId="119" w16cid:durableId="1941373287">
    <w:abstractNumId w:val="5"/>
  </w:num>
  <w:num w:numId="120" w16cid:durableId="938564788">
    <w:abstractNumId w:val="100"/>
  </w:num>
  <w:num w:numId="121" w16cid:durableId="5599469">
    <w:abstractNumId w:val="1"/>
  </w:num>
  <w:num w:numId="122" w16cid:durableId="1099713638">
    <w:abstractNumId w:val="33"/>
  </w:num>
  <w:num w:numId="123" w16cid:durableId="106279862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2EE3"/>
    <w:rsid w:val="000243D9"/>
    <w:rsid w:val="00024F62"/>
    <w:rsid w:val="000258E1"/>
    <w:rsid w:val="000261AF"/>
    <w:rsid w:val="00031879"/>
    <w:rsid w:val="00034A74"/>
    <w:rsid w:val="00035967"/>
    <w:rsid w:val="00036C05"/>
    <w:rsid w:val="000450EC"/>
    <w:rsid w:val="00045C1C"/>
    <w:rsid w:val="00051EED"/>
    <w:rsid w:val="00053C04"/>
    <w:rsid w:val="00055654"/>
    <w:rsid w:val="00057530"/>
    <w:rsid w:val="00057737"/>
    <w:rsid w:val="000608FB"/>
    <w:rsid w:val="00062EF1"/>
    <w:rsid w:val="00063753"/>
    <w:rsid w:val="00063802"/>
    <w:rsid w:val="00066ABF"/>
    <w:rsid w:val="000801BB"/>
    <w:rsid w:val="0008430A"/>
    <w:rsid w:val="0008609D"/>
    <w:rsid w:val="00087341"/>
    <w:rsid w:val="00092ADC"/>
    <w:rsid w:val="00092D28"/>
    <w:rsid w:val="00094A53"/>
    <w:rsid w:val="00096D6A"/>
    <w:rsid w:val="00096E3D"/>
    <w:rsid w:val="000A3800"/>
    <w:rsid w:val="000A40AA"/>
    <w:rsid w:val="000A5009"/>
    <w:rsid w:val="000A6ABC"/>
    <w:rsid w:val="000B2FAD"/>
    <w:rsid w:val="000B4E3A"/>
    <w:rsid w:val="000B60E8"/>
    <w:rsid w:val="000B7C38"/>
    <w:rsid w:val="000C309D"/>
    <w:rsid w:val="000C478D"/>
    <w:rsid w:val="000C5A42"/>
    <w:rsid w:val="000D0CC7"/>
    <w:rsid w:val="000E2273"/>
    <w:rsid w:val="000E568E"/>
    <w:rsid w:val="000E78AB"/>
    <w:rsid w:val="000E7DAA"/>
    <w:rsid w:val="000F435A"/>
    <w:rsid w:val="00101D42"/>
    <w:rsid w:val="00102F58"/>
    <w:rsid w:val="001030CE"/>
    <w:rsid w:val="00104737"/>
    <w:rsid w:val="00107845"/>
    <w:rsid w:val="0011342C"/>
    <w:rsid w:val="001148B5"/>
    <w:rsid w:val="001170F1"/>
    <w:rsid w:val="00121F9C"/>
    <w:rsid w:val="00122B40"/>
    <w:rsid w:val="001239D2"/>
    <w:rsid w:val="001250B7"/>
    <w:rsid w:val="00125F0A"/>
    <w:rsid w:val="0013044A"/>
    <w:rsid w:val="0013536E"/>
    <w:rsid w:val="00137A91"/>
    <w:rsid w:val="00142600"/>
    <w:rsid w:val="001466C3"/>
    <w:rsid w:val="00151D6F"/>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C3ADF"/>
    <w:rsid w:val="001E36BD"/>
    <w:rsid w:val="001E3C72"/>
    <w:rsid w:val="001F05C7"/>
    <w:rsid w:val="001F0962"/>
    <w:rsid w:val="001F14B9"/>
    <w:rsid w:val="002018CF"/>
    <w:rsid w:val="0021140B"/>
    <w:rsid w:val="00214D1B"/>
    <w:rsid w:val="00225D41"/>
    <w:rsid w:val="002337DA"/>
    <w:rsid w:val="00237DD8"/>
    <w:rsid w:val="002441DB"/>
    <w:rsid w:val="0025062F"/>
    <w:rsid w:val="002533D5"/>
    <w:rsid w:val="00262050"/>
    <w:rsid w:val="00264F8A"/>
    <w:rsid w:val="00274C9A"/>
    <w:rsid w:val="002753BD"/>
    <w:rsid w:val="0027548E"/>
    <w:rsid w:val="00275BD0"/>
    <w:rsid w:val="00277A7E"/>
    <w:rsid w:val="0028154B"/>
    <w:rsid w:val="0028449C"/>
    <w:rsid w:val="002914A1"/>
    <w:rsid w:val="0029404C"/>
    <w:rsid w:val="00295EFD"/>
    <w:rsid w:val="002964C4"/>
    <w:rsid w:val="002967B4"/>
    <w:rsid w:val="002A0871"/>
    <w:rsid w:val="002A32F6"/>
    <w:rsid w:val="002A3FAA"/>
    <w:rsid w:val="002A64C4"/>
    <w:rsid w:val="002B7807"/>
    <w:rsid w:val="002B785F"/>
    <w:rsid w:val="002C164C"/>
    <w:rsid w:val="002C4BF6"/>
    <w:rsid w:val="002D0FA3"/>
    <w:rsid w:val="002D1B99"/>
    <w:rsid w:val="002D3DBC"/>
    <w:rsid w:val="002E46A2"/>
    <w:rsid w:val="002F3440"/>
    <w:rsid w:val="00302E27"/>
    <w:rsid w:val="003063CF"/>
    <w:rsid w:val="00307AE3"/>
    <w:rsid w:val="003106F3"/>
    <w:rsid w:val="00310A34"/>
    <w:rsid w:val="0031103C"/>
    <w:rsid w:val="0031285F"/>
    <w:rsid w:val="00315BDB"/>
    <w:rsid w:val="003223E7"/>
    <w:rsid w:val="00323616"/>
    <w:rsid w:val="00342D93"/>
    <w:rsid w:val="00352077"/>
    <w:rsid w:val="003812B1"/>
    <w:rsid w:val="00382F0D"/>
    <w:rsid w:val="0038619E"/>
    <w:rsid w:val="0038748F"/>
    <w:rsid w:val="00387BE1"/>
    <w:rsid w:val="0039145E"/>
    <w:rsid w:val="00391DD6"/>
    <w:rsid w:val="00393BBD"/>
    <w:rsid w:val="003968B7"/>
    <w:rsid w:val="00397256"/>
    <w:rsid w:val="003A119B"/>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3F5ABF"/>
    <w:rsid w:val="00400A92"/>
    <w:rsid w:val="00407E79"/>
    <w:rsid w:val="00410EAB"/>
    <w:rsid w:val="004122E6"/>
    <w:rsid w:val="00417625"/>
    <w:rsid w:val="0041769C"/>
    <w:rsid w:val="00417EA6"/>
    <w:rsid w:val="0042063D"/>
    <w:rsid w:val="00426E64"/>
    <w:rsid w:val="00431670"/>
    <w:rsid w:val="004438A0"/>
    <w:rsid w:val="004516DB"/>
    <w:rsid w:val="00454BBF"/>
    <w:rsid w:val="00464C8E"/>
    <w:rsid w:val="00466CEE"/>
    <w:rsid w:val="00473731"/>
    <w:rsid w:val="004755BE"/>
    <w:rsid w:val="00484D16"/>
    <w:rsid w:val="00491902"/>
    <w:rsid w:val="00491B42"/>
    <w:rsid w:val="0049266E"/>
    <w:rsid w:val="00496C17"/>
    <w:rsid w:val="00496DF9"/>
    <w:rsid w:val="004A3C2B"/>
    <w:rsid w:val="004A4370"/>
    <w:rsid w:val="004A5BEB"/>
    <w:rsid w:val="004B0F4E"/>
    <w:rsid w:val="004B46BB"/>
    <w:rsid w:val="004B73A1"/>
    <w:rsid w:val="004B7F4F"/>
    <w:rsid w:val="004C23FC"/>
    <w:rsid w:val="004D1DEE"/>
    <w:rsid w:val="004D4E1B"/>
    <w:rsid w:val="004E47A9"/>
    <w:rsid w:val="004E74DA"/>
    <w:rsid w:val="004F21EA"/>
    <w:rsid w:val="00501590"/>
    <w:rsid w:val="005058C6"/>
    <w:rsid w:val="0050683B"/>
    <w:rsid w:val="00523D35"/>
    <w:rsid w:val="005256F6"/>
    <w:rsid w:val="00527BB8"/>
    <w:rsid w:val="00527DFC"/>
    <w:rsid w:val="00533C38"/>
    <w:rsid w:val="00542AC9"/>
    <w:rsid w:val="00543ED7"/>
    <w:rsid w:val="00544182"/>
    <w:rsid w:val="00545BDD"/>
    <w:rsid w:val="005610CE"/>
    <w:rsid w:val="005651FF"/>
    <w:rsid w:val="00565B1A"/>
    <w:rsid w:val="00574C89"/>
    <w:rsid w:val="00575FF4"/>
    <w:rsid w:val="00580D1C"/>
    <w:rsid w:val="005830BD"/>
    <w:rsid w:val="00583E44"/>
    <w:rsid w:val="0058619B"/>
    <w:rsid w:val="00590C3B"/>
    <w:rsid w:val="005963A3"/>
    <w:rsid w:val="005A2560"/>
    <w:rsid w:val="005A25D0"/>
    <w:rsid w:val="005A66BB"/>
    <w:rsid w:val="005A6CCC"/>
    <w:rsid w:val="005B2A14"/>
    <w:rsid w:val="005B3AEB"/>
    <w:rsid w:val="005C118A"/>
    <w:rsid w:val="005D42DE"/>
    <w:rsid w:val="005D501D"/>
    <w:rsid w:val="005E09D5"/>
    <w:rsid w:val="005E0DFB"/>
    <w:rsid w:val="005E2F8B"/>
    <w:rsid w:val="005E6D3E"/>
    <w:rsid w:val="005F2548"/>
    <w:rsid w:val="005F28C8"/>
    <w:rsid w:val="005F59F2"/>
    <w:rsid w:val="005F7642"/>
    <w:rsid w:val="005F7B80"/>
    <w:rsid w:val="00601CAE"/>
    <w:rsid w:val="00603E20"/>
    <w:rsid w:val="00604C12"/>
    <w:rsid w:val="006138EE"/>
    <w:rsid w:val="00613ACE"/>
    <w:rsid w:val="00614C54"/>
    <w:rsid w:val="00615365"/>
    <w:rsid w:val="0061548C"/>
    <w:rsid w:val="00617649"/>
    <w:rsid w:val="00617E88"/>
    <w:rsid w:val="006229CB"/>
    <w:rsid w:val="0062470B"/>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525B"/>
    <w:rsid w:val="006A7990"/>
    <w:rsid w:val="006A7D91"/>
    <w:rsid w:val="006C6D17"/>
    <w:rsid w:val="006D3933"/>
    <w:rsid w:val="006D4C8B"/>
    <w:rsid w:val="006D5B2D"/>
    <w:rsid w:val="006D654F"/>
    <w:rsid w:val="006E0961"/>
    <w:rsid w:val="006F307A"/>
    <w:rsid w:val="006F764A"/>
    <w:rsid w:val="006F7B8A"/>
    <w:rsid w:val="00705B36"/>
    <w:rsid w:val="00707F2F"/>
    <w:rsid w:val="007105C9"/>
    <w:rsid w:val="00713B35"/>
    <w:rsid w:val="00716D24"/>
    <w:rsid w:val="007178A1"/>
    <w:rsid w:val="00722C5D"/>
    <w:rsid w:val="00731DF6"/>
    <w:rsid w:val="00733D25"/>
    <w:rsid w:val="00737AD6"/>
    <w:rsid w:val="00741674"/>
    <w:rsid w:val="00751108"/>
    <w:rsid w:val="007548A7"/>
    <w:rsid w:val="007641F6"/>
    <w:rsid w:val="00764A70"/>
    <w:rsid w:val="007672D6"/>
    <w:rsid w:val="00771BAF"/>
    <w:rsid w:val="00785CF1"/>
    <w:rsid w:val="00792443"/>
    <w:rsid w:val="0079385F"/>
    <w:rsid w:val="007A0767"/>
    <w:rsid w:val="007A28B8"/>
    <w:rsid w:val="007A349F"/>
    <w:rsid w:val="007B4CEC"/>
    <w:rsid w:val="007C27ED"/>
    <w:rsid w:val="007C7D68"/>
    <w:rsid w:val="007D0A42"/>
    <w:rsid w:val="007D2F58"/>
    <w:rsid w:val="007E112C"/>
    <w:rsid w:val="007E117E"/>
    <w:rsid w:val="007E6B77"/>
    <w:rsid w:val="00801E05"/>
    <w:rsid w:val="00805BF8"/>
    <w:rsid w:val="00814543"/>
    <w:rsid w:val="00830001"/>
    <w:rsid w:val="00840613"/>
    <w:rsid w:val="008542B4"/>
    <w:rsid w:val="00854B03"/>
    <w:rsid w:val="008577C6"/>
    <w:rsid w:val="00871CCD"/>
    <w:rsid w:val="00876B10"/>
    <w:rsid w:val="00883C5F"/>
    <w:rsid w:val="00896E65"/>
    <w:rsid w:val="008B062E"/>
    <w:rsid w:val="008B0B29"/>
    <w:rsid w:val="008B4028"/>
    <w:rsid w:val="008C3204"/>
    <w:rsid w:val="008D1413"/>
    <w:rsid w:val="008D1CAD"/>
    <w:rsid w:val="008D2A24"/>
    <w:rsid w:val="008D62FA"/>
    <w:rsid w:val="008E2E0E"/>
    <w:rsid w:val="008F404E"/>
    <w:rsid w:val="009003FD"/>
    <w:rsid w:val="00907B74"/>
    <w:rsid w:val="00910314"/>
    <w:rsid w:val="00910CDF"/>
    <w:rsid w:val="00922A37"/>
    <w:rsid w:val="00930ACC"/>
    <w:rsid w:val="00933004"/>
    <w:rsid w:val="009342F2"/>
    <w:rsid w:val="00945B37"/>
    <w:rsid w:val="00946D49"/>
    <w:rsid w:val="00953BF3"/>
    <w:rsid w:val="00953CC1"/>
    <w:rsid w:val="00957543"/>
    <w:rsid w:val="0096336F"/>
    <w:rsid w:val="00963D59"/>
    <w:rsid w:val="00967637"/>
    <w:rsid w:val="00973D4E"/>
    <w:rsid w:val="00974ECA"/>
    <w:rsid w:val="0098337D"/>
    <w:rsid w:val="009842A6"/>
    <w:rsid w:val="00985775"/>
    <w:rsid w:val="00991077"/>
    <w:rsid w:val="00992A6E"/>
    <w:rsid w:val="009A711B"/>
    <w:rsid w:val="009B0F40"/>
    <w:rsid w:val="009B10C7"/>
    <w:rsid w:val="009C79AB"/>
    <w:rsid w:val="009D1B2E"/>
    <w:rsid w:val="009E548A"/>
    <w:rsid w:val="009E6883"/>
    <w:rsid w:val="009F15E0"/>
    <w:rsid w:val="009F5654"/>
    <w:rsid w:val="00A009BF"/>
    <w:rsid w:val="00A029CE"/>
    <w:rsid w:val="00A15EFE"/>
    <w:rsid w:val="00A20028"/>
    <w:rsid w:val="00A405AA"/>
    <w:rsid w:val="00A421DB"/>
    <w:rsid w:val="00A45E77"/>
    <w:rsid w:val="00A4680C"/>
    <w:rsid w:val="00A51D64"/>
    <w:rsid w:val="00A54B8A"/>
    <w:rsid w:val="00A57542"/>
    <w:rsid w:val="00A709F5"/>
    <w:rsid w:val="00A8197B"/>
    <w:rsid w:val="00A82654"/>
    <w:rsid w:val="00A909BC"/>
    <w:rsid w:val="00A9638A"/>
    <w:rsid w:val="00AB79B6"/>
    <w:rsid w:val="00AD1271"/>
    <w:rsid w:val="00AD17E3"/>
    <w:rsid w:val="00AD20E5"/>
    <w:rsid w:val="00AD7F63"/>
    <w:rsid w:val="00AE3D68"/>
    <w:rsid w:val="00AE3E1C"/>
    <w:rsid w:val="00AE606F"/>
    <w:rsid w:val="00B072EB"/>
    <w:rsid w:val="00B10011"/>
    <w:rsid w:val="00B16F45"/>
    <w:rsid w:val="00B228C9"/>
    <w:rsid w:val="00B25109"/>
    <w:rsid w:val="00B325B9"/>
    <w:rsid w:val="00B33573"/>
    <w:rsid w:val="00B34680"/>
    <w:rsid w:val="00B367C5"/>
    <w:rsid w:val="00B4763A"/>
    <w:rsid w:val="00B508E7"/>
    <w:rsid w:val="00B52E21"/>
    <w:rsid w:val="00B57564"/>
    <w:rsid w:val="00B62FFD"/>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6473"/>
    <w:rsid w:val="00BA6AE6"/>
    <w:rsid w:val="00BC25E6"/>
    <w:rsid w:val="00BC27DC"/>
    <w:rsid w:val="00BC2C47"/>
    <w:rsid w:val="00BC2F0D"/>
    <w:rsid w:val="00BC4BF3"/>
    <w:rsid w:val="00BC5DCA"/>
    <w:rsid w:val="00BC6331"/>
    <w:rsid w:val="00BE4ACC"/>
    <w:rsid w:val="00BE6359"/>
    <w:rsid w:val="00BF0C8F"/>
    <w:rsid w:val="00BF15DE"/>
    <w:rsid w:val="00BF2610"/>
    <w:rsid w:val="00BF72AA"/>
    <w:rsid w:val="00C007B5"/>
    <w:rsid w:val="00C00CD9"/>
    <w:rsid w:val="00C02FA2"/>
    <w:rsid w:val="00C12448"/>
    <w:rsid w:val="00C166F6"/>
    <w:rsid w:val="00C2397D"/>
    <w:rsid w:val="00C35CA6"/>
    <w:rsid w:val="00C408F8"/>
    <w:rsid w:val="00C50DC5"/>
    <w:rsid w:val="00C530D7"/>
    <w:rsid w:val="00C56022"/>
    <w:rsid w:val="00C705B5"/>
    <w:rsid w:val="00C73289"/>
    <w:rsid w:val="00C76799"/>
    <w:rsid w:val="00C82681"/>
    <w:rsid w:val="00C84DE1"/>
    <w:rsid w:val="00C909F7"/>
    <w:rsid w:val="00C94D89"/>
    <w:rsid w:val="00C95A7C"/>
    <w:rsid w:val="00C977D8"/>
    <w:rsid w:val="00CA5D29"/>
    <w:rsid w:val="00CA75AB"/>
    <w:rsid w:val="00CC2CF9"/>
    <w:rsid w:val="00CC30F5"/>
    <w:rsid w:val="00CC5439"/>
    <w:rsid w:val="00CC6A3C"/>
    <w:rsid w:val="00CC7230"/>
    <w:rsid w:val="00CD15B1"/>
    <w:rsid w:val="00CD193B"/>
    <w:rsid w:val="00CD27EE"/>
    <w:rsid w:val="00CE5AA5"/>
    <w:rsid w:val="00CE5C76"/>
    <w:rsid w:val="00CE65B4"/>
    <w:rsid w:val="00CF0DAF"/>
    <w:rsid w:val="00CF1E21"/>
    <w:rsid w:val="00CF415A"/>
    <w:rsid w:val="00CF65E3"/>
    <w:rsid w:val="00CF6DA2"/>
    <w:rsid w:val="00D0283D"/>
    <w:rsid w:val="00D05549"/>
    <w:rsid w:val="00D069A3"/>
    <w:rsid w:val="00D1237D"/>
    <w:rsid w:val="00D12396"/>
    <w:rsid w:val="00D14613"/>
    <w:rsid w:val="00D1461E"/>
    <w:rsid w:val="00D17AD2"/>
    <w:rsid w:val="00D20784"/>
    <w:rsid w:val="00D2260C"/>
    <w:rsid w:val="00D24878"/>
    <w:rsid w:val="00D258B9"/>
    <w:rsid w:val="00D2675C"/>
    <w:rsid w:val="00D30D4A"/>
    <w:rsid w:val="00D34172"/>
    <w:rsid w:val="00D53E37"/>
    <w:rsid w:val="00D54BC9"/>
    <w:rsid w:val="00D56EF5"/>
    <w:rsid w:val="00D5775C"/>
    <w:rsid w:val="00D6469B"/>
    <w:rsid w:val="00D769B2"/>
    <w:rsid w:val="00D81A6D"/>
    <w:rsid w:val="00D87861"/>
    <w:rsid w:val="00D95D63"/>
    <w:rsid w:val="00DA6D03"/>
    <w:rsid w:val="00DB4B02"/>
    <w:rsid w:val="00DB576E"/>
    <w:rsid w:val="00DB761C"/>
    <w:rsid w:val="00DC024C"/>
    <w:rsid w:val="00DD24E0"/>
    <w:rsid w:val="00DD3757"/>
    <w:rsid w:val="00DD5820"/>
    <w:rsid w:val="00DE3A63"/>
    <w:rsid w:val="00DF082F"/>
    <w:rsid w:val="00DF3BD9"/>
    <w:rsid w:val="00E201CC"/>
    <w:rsid w:val="00E24008"/>
    <w:rsid w:val="00E24150"/>
    <w:rsid w:val="00E327E1"/>
    <w:rsid w:val="00E356E1"/>
    <w:rsid w:val="00E36443"/>
    <w:rsid w:val="00E37F44"/>
    <w:rsid w:val="00E43F0C"/>
    <w:rsid w:val="00E445B5"/>
    <w:rsid w:val="00E47E24"/>
    <w:rsid w:val="00E47FB6"/>
    <w:rsid w:val="00E54113"/>
    <w:rsid w:val="00E659C8"/>
    <w:rsid w:val="00E73027"/>
    <w:rsid w:val="00E76182"/>
    <w:rsid w:val="00E76A82"/>
    <w:rsid w:val="00E848C1"/>
    <w:rsid w:val="00E93EDE"/>
    <w:rsid w:val="00E93F02"/>
    <w:rsid w:val="00E95D51"/>
    <w:rsid w:val="00EA4F77"/>
    <w:rsid w:val="00EA59F5"/>
    <w:rsid w:val="00EA679C"/>
    <w:rsid w:val="00EA6E3D"/>
    <w:rsid w:val="00EB395E"/>
    <w:rsid w:val="00EB3F7B"/>
    <w:rsid w:val="00EC2F22"/>
    <w:rsid w:val="00EC3D46"/>
    <w:rsid w:val="00EC4136"/>
    <w:rsid w:val="00ED0822"/>
    <w:rsid w:val="00ED5A72"/>
    <w:rsid w:val="00ED60A3"/>
    <w:rsid w:val="00ED6701"/>
    <w:rsid w:val="00ED6B42"/>
    <w:rsid w:val="00ED7A7D"/>
    <w:rsid w:val="00ED7D28"/>
    <w:rsid w:val="00EF2DD8"/>
    <w:rsid w:val="00EF78BE"/>
    <w:rsid w:val="00F011B1"/>
    <w:rsid w:val="00F03761"/>
    <w:rsid w:val="00F11BC0"/>
    <w:rsid w:val="00F12586"/>
    <w:rsid w:val="00F126D6"/>
    <w:rsid w:val="00F12B68"/>
    <w:rsid w:val="00F17EE6"/>
    <w:rsid w:val="00F31E52"/>
    <w:rsid w:val="00F3590B"/>
    <w:rsid w:val="00F441FD"/>
    <w:rsid w:val="00F4630D"/>
    <w:rsid w:val="00F51F23"/>
    <w:rsid w:val="00F53CBD"/>
    <w:rsid w:val="00F53F85"/>
    <w:rsid w:val="00F612F7"/>
    <w:rsid w:val="00F6472D"/>
    <w:rsid w:val="00F72A14"/>
    <w:rsid w:val="00F7538D"/>
    <w:rsid w:val="00F77214"/>
    <w:rsid w:val="00F83EB5"/>
    <w:rsid w:val="00F8550F"/>
    <w:rsid w:val="00F930B1"/>
    <w:rsid w:val="00F9719D"/>
    <w:rsid w:val="00FA2D20"/>
    <w:rsid w:val="00FA32ED"/>
    <w:rsid w:val="00FB0B42"/>
    <w:rsid w:val="00FB287D"/>
    <w:rsid w:val="00FB4B18"/>
    <w:rsid w:val="00FB5F2E"/>
    <w:rsid w:val="00FC6DE7"/>
    <w:rsid w:val="00FD5201"/>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5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a.ky/upimages/lawsregulations/VirtualAssetServiceProvidersLaw,2020_1594210684_1599485320.PDF" TargetMode="External"/><Relationship Id="rId13" Type="http://schemas.openxmlformats.org/officeDocument/2006/relationships/hyperlink" Target="https://www.cima.ky/upimages/lawsregulations/SecuritiesInvestmentBusinessAmendmentLaw,2020_1590507845_1599484990.PDF" TargetMode="External"/><Relationship Id="rId18" Type="http://schemas.openxmlformats.org/officeDocument/2006/relationships/hyperlink" Target="https://www.cima.ky/upimages/lawsregulations/MonetaryAuthorityAdministrativeFinesRegulations2022Revision_1648668869.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cips.ky/financial-investigations" TargetMode="External"/><Relationship Id="rId7" Type="http://schemas.openxmlformats.org/officeDocument/2006/relationships/endnotes" Target="endnotes.xml"/><Relationship Id="rId12" Type="http://schemas.openxmlformats.org/officeDocument/2006/relationships/hyperlink" Target="https://www.cima.ky/upimages/lawsregulations/VirtualAssetServiceProvidersAmendmentAct2023_1685461557.PDF" TargetMode="External"/><Relationship Id="rId17" Type="http://schemas.openxmlformats.org/officeDocument/2006/relationships/hyperlink" Target="https://www.cima.ky/upimages/lawsregulations/PrivateFundsAct2021Revision_1616773043.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ima.ky/upimages/lawsregulations/MutualFundsAct2021Revision_1613486288.PDF" TargetMode="External"/><Relationship Id="rId20" Type="http://schemas.openxmlformats.org/officeDocument/2006/relationships/hyperlink" Target="https://www.cima.k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ma.ky/upimages/lawsregulations/VirtualAssetServiceProvidersAct,2022Revision_1648044781.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ima.ky/upimages/lawsregulations/ProceedsofCrimeLaw2020Revision_1579813183_1599483638.pdf" TargetMode="External"/><Relationship Id="rId23" Type="http://schemas.openxmlformats.org/officeDocument/2006/relationships/hyperlink" Target="https://www.ditc.ky/" TargetMode="External"/><Relationship Id="rId28" Type="http://schemas.openxmlformats.org/officeDocument/2006/relationships/header" Target="header3.xml"/><Relationship Id="rId10" Type="http://schemas.openxmlformats.org/officeDocument/2006/relationships/hyperlink" Target="https://www.cima.ky/upimages/lawsregulations/VirtualAssetServiceProvidersSavingsandTransitionalRegulations,2021_1611082765.PDF" TargetMode="External"/><Relationship Id="rId19" Type="http://schemas.openxmlformats.org/officeDocument/2006/relationships/hyperlink" Target="https://www.ditc.ky/wp-content/uploads/DITC-Economic-Substance-Ac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ma.ky/upimages/lawsregulations/VirtualAssetServiceProvidersRegulations,2020_1603983073.PDF" TargetMode="External"/><Relationship Id="rId14" Type="http://schemas.openxmlformats.org/officeDocument/2006/relationships/hyperlink" Target="https://www.cima.ky/upimages/lawsregulations/Anti-MoneyLaunderingRegulations2023Revision_1673895715.PDF" TargetMode="External"/><Relationship Id="rId22" Type="http://schemas.openxmlformats.org/officeDocument/2006/relationships/hyperlink" Target="https://fra.gov.k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15</Pages>
  <Words>6220</Words>
  <Characters>35456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346</cp:revision>
  <dcterms:created xsi:type="dcterms:W3CDTF">2024-08-04T23:12:00Z</dcterms:created>
  <dcterms:modified xsi:type="dcterms:W3CDTF">2024-08-27T16:01:00Z</dcterms:modified>
</cp:coreProperties>
</file>