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6F96C8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92ADC" w:rsidRPr="00092ADC">
        <w:rPr>
          <w:rFonts w:ascii="Arial" w:eastAsia="Cambria" w:hAnsi="Arial" w:cs="Arial"/>
          <w:color w:val="FFFFFF"/>
          <w:lang w:val="en-GB"/>
        </w:rPr>
        <w:t>Gibraltar</w:t>
      </w:r>
      <w:r w:rsidR="00A405AA">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p w14:paraId="5EF4FE96" w14:textId="38A87BDA" w:rsidR="00B4763A" w:rsidRDefault="00000000" w:rsidP="00B4763A">
      <w:pPr>
        <w:spacing w:after="200"/>
        <w:jc w:val="center"/>
        <w:rPr>
          <w:rStyle w:val="Hyperlink"/>
          <w:rFonts w:ascii="Arial" w:eastAsia="Cambria" w:hAnsi="Arial" w:cs="Arial"/>
          <w:sz w:val="28"/>
          <w:szCs w:val="24"/>
          <w:lang w:val="en-GB"/>
        </w:rPr>
      </w:pPr>
      <w:hyperlink r:id="rId8" w:history="1">
        <w:r w:rsidR="00B4763A"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6F6A12A5"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B945CF" w:rsidRPr="00B945CF">
                        <w:rPr>
                          <w:b/>
                          <w:bCs/>
                          <w:color w:val="FF6E00"/>
                          <w:sz w:val="72"/>
                          <w:szCs w:val="72"/>
                        </w:rPr>
                        <w:t>Gibraltar</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1EE97DA7" w14:textId="6CB008E4" w:rsidR="00466CEE" w:rsidRDefault="00466CEE" w:rsidP="00067855">
      <w:pPr>
        <w:spacing w:after="0" w:line="240" w:lineRule="auto"/>
        <w:jc w:val="both"/>
        <w:rPr>
          <w:b/>
          <w:bCs/>
          <w:color w:val="FF6E00"/>
        </w:rPr>
      </w:pPr>
    </w:p>
    <w:p w14:paraId="65AC8692" w14:textId="77777777" w:rsidR="00067855" w:rsidRDefault="00067855" w:rsidP="00067855">
      <w:pPr>
        <w:spacing w:after="0" w:line="240" w:lineRule="auto"/>
        <w:jc w:val="both"/>
        <w:rPr>
          <w:b/>
          <w:bCs/>
          <w:color w:val="FF6E00"/>
        </w:rPr>
      </w:pPr>
    </w:p>
    <w:p w14:paraId="0912A8EE" w14:textId="77777777" w:rsidR="00067855" w:rsidRPr="0006785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lang w:val="en-SG"/>
        </w:rPr>
        <w:lastRenderedPageBreak/>
        <w:t xml:space="preserve">Virtual asset laws and regulations in </w:t>
      </w:r>
      <w:r w:rsidRPr="00067855">
        <w:rPr>
          <w:rFonts w:eastAsia="Times New Roman" w:cstheme="minorHAnsi"/>
          <w:b/>
          <w:bCs/>
          <w:lang w:val="en-PH"/>
        </w:rPr>
        <w:t>Gibraltar</w:t>
      </w:r>
    </w:p>
    <w:p w14:paraId="1C4D123E" w14:textId="77777777" w:rsidR="00067855" w:rsidRPr="00067855" w:rsidRDefault="00067855" w:rsidP="00067855">
      <w:pPr>
        <w:spacing w:after="0" w:line="240" w:lineRule="auto"/>
        <w:ind w:left="360"/>
        <w:jc w:val="both"/>
        <w:rPr>
          <w:rFonts w:eastAsia="Times New Roman" w:cstheme="minorHAnsi"/>
          <w:b/>
          <w:lang w:val="en-PH"/>
        </w:rPr>
      </w:pPr>
    </w:p>
    <w:p w14:paraId="2BE766B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Gibraltar Financial Services Commission (</w:t>
      </w:r>
      <w:hyperlink r:id="rId9" w:tgtFrame="_blank" w:history="1">
        <w:r w:rsidRPr="00067855">
          <w:rPr>
            <w:rStyle w:val="Hyperlink"/>
            <w:rFonts w:eastAsia="Times New Roman" w:cstheme="minorHAnsi"/>
            <w:b/>
            <w:bCs/>
            <w:color w:val="FF6E00"/>
            <w:u w:val="none"/>
            <w:lang w:val="en-PH"/>
          </w:rPr>
          <w:t>GFSC</w:t>
        </w:r>
      </w:hyperlink>
      <w:r w:rsidRPr="00067855">
        <w:rPr>
          <w:rFonts w:eastAsia="Times New Roman" w:cstheme="minorHAnsi"/>
          <w:lang w:val="en-PH"/>
        </w:rPr>
        <w:t>) initiated a consultation process in May 2017 to develop a regulatory framework for Distributed Ledger Technology (</w:t>
      </w:r>
      <w:r w:rsidRPr="00067855">
        <w:rPr>
          <w:rFonts w:eastAsia="Times New Roman" w:cstheme="minorHAnsi"/>
          <w:b/>
          <w:bCs/>
          <w:lang w:val="en-PH"/>
        </w:rPr>
        <w:t>DLT</w:t>
      </w:r>
      <w:r w:rsidRPr="00067855">
        <w:rPr>
          <w:rFonts w:eastAsia="Times New Roman" w:cstheme="minorHAnsi"/>
          <w:lang w:val="en-PH"/>
        </w:rPr>
        <w:t>) providers. The objective was to create a principles-based and adaptable framework that could address the aspects and risks associated with various business models and technologies in the virtual assets sector.</w:t>
      </w:r>
    </w:p>
    <w:p w14:paraId="4296B928" w14:textId="77777777" w:rsidR="00067855" w:rsidRPr="00067855" w:rsidRDefault="00067855" w:rsidP="00067855">
      <w:pPr>
        <w:spacing w:after="0" w:line="240" w:lineRule="auto"/>
        <w:ind w:left="360"/>
        <w:jc w:val="both"/>
        <w:rPr>
          <w:rFonts w:eastAsia="Times New Roman" w:cstheme="minorHAnsi"/>
          <w:lang w:val="en-PH"/>
        </w:rPr>
      </w:pPr>
    </w:p>
    <w:p w14:paraId="675B389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Following the consultation process, the GFSC finalised and implemented the DLT framework in January 2018. This framework established nine core principles and accompanying 10 guidance notes for DLT providers, with a focus on key areas such as corporate governance, risk management, consumer protection, and financial crime prevention.  Furthermore, the Financial Services Act, 2019 (</w:t>
      </w:r>
      <w:hyperlink r:id="rId10" w:tgtFrame="_blank" w:history="1">
        <w:r w:rsidRPr="00067855">
          <w:rPr>
            <w:rStyle w:val="Hyperlink"/>
            <w:rFonts w:eastAsia="Times New Roman" w:cstheme="minorHAnsi"/>
            <w:b/>
            <w:bCs/>
            <w:color w:val="FF6E00"/>
            <w:u w:val="none"/>
            <w:lang w:val="en-PH"/>
          </w:rPr>
          <w:t>FSA</w:t>
        </w:r>
      </w:hyperlink>
      <w:r w:rsidRPr="00067855">
        <w:rPr>
          <w:rFonts w:eastAsia="Times New Roman" w:cstheme="minorHAnsi"/>
          <w:lang w:val="en-PH"/>
        </w:rPr>
        <w:t>) ensures that any activities involving virtual/digital assets are conducted in compliance with regulations set by the GFSC. The GFSC has continued to refine and develop its regulatory approach, introducing additional regulations for Initial Coin Offerings (</w:t>
      </w:r>
      <w:r w:rsidRPr="00067855">
        <w:rPr>
          <w:rFonts w:eastAsia="Times New Roman" w:cstheme="minorHAnsi"/>
          <w:b/>
          <w:bCs/>
          <w:lang w:val="en-PH"/>
        </w:rPr>
        <w:t>ICOs</w:t>
      </w:r>
      <w:r w:rsidRPr="00067855">
        <w:rPr>
          <w:rFonts w:eastAsia="Times New Roman" w:cstheme="minorHAnsi"/>
          <w:lang w:val="en-PH"/>
        </w:rPr>
        <w:t>), Security Token Offerings (</w:t>
      </w:r>
      <w:r w:rsidRPr="00067855">
        <w:rPr>
          <w:rFonts w:eastAsia="Times New Roman" w:cstheme="minorHAnsi"/>
          <w:b/>
          <w:bCs/>
          <w:lang w:val="en-PH"/>
        </w:rPr>
        <w:t>STOs</w:t>
      </w:r>
      <w:r w:rsidRPr="00067855">
        <w:rPr>
          <w:rFonts w:eastAsia="Times New Roman" w:cstheme="minorHAnsi"/>
          <w:lang w:val="en-PH"/>
        </w:rPr>
        <w:t>), and other token sales.</w:t>
      </w:r>
    </w:p>
    <w:p w14:paraId="2F6B31EB" w14:textId="77777777" w:rsidR="00967E59" w:rsidRPr="00067855" w:rsidRDefault="00967E59" w:rsidP="00067855">
      <w:pPr>
        <w:spacing w:after="0" w:line="240" w:lineRule="auto"/>
        <w:ind w:left="360"/>
        <w:jc w:val="both"/>
        <w:rPr>
          <w:rFonts w:eastAsia="Times New Roman" w:cstheme="minorHAnsi"/>
          <w:lang w:val="en-PH"/>
        </w:rPr>
      </w:pPr>
    </w:p>
    <w:p w14:paraId="3195E93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Moreover, Gibraltar adheres to international Anti-Money Laundering and Counter-Terrorist Financing (</w:t>
      </w:r>
      <w:r w:rsidRPr="00067855">
        <w:rPr>
          <w:rFonts w:eastAsia="Times New Roman" w:cstheme="minorHAnsi"/>
          <w:b/>
          <w:bCs/>
          <w:lang w:val="en-PH"/>
        </w:rPr>
        <w:t>AML/CFT</w:t>
      </w:r>
      <w:r w:rsidRPr="00067855">
        <w:rPr>
          <w:rFonts w:eastAsia="Times New Roman" w:cstheme="minorHAnsi"/>
          <w:lang w:val="en-PH"/>
        </w:rPr>
        <w:t>) regulations for virtual asset service providers (</w:t>
      </w:r>
      <w:r w:rsidRPr="00067855">
        <w:rPr>
          <w:rFonts w:eastAsia="Times New Roman" w:cstheme="minorHAnsi"/>
          <w:b/>
          <w:bCs/>
          <w:lang w:val="en-PH"/>
        </w:rPr>
        <w:t>VASPs</w:t>
      </w:r>
      <w:r w:rsidRPr="00067855">
        <w:rPr>
          <w:rFonts w:eastAsia="Times New Roman" w:cstheme="minorHAnsi"/>
          <w:lang w:val="en-PH"/>
        </w:rPr>
        <w:t>) in line with the recommendations set forth by the Financial Action Task Force (</w:t>
      </w:r>
      <w:hyperlink r:id="rId11" w:tgtFrame="_blank" w:history="1">
        <w:r w:rsidRPr="00067855">
          <w:rPr>
            <w:rStyle w:val="Hyperlink"/>
            <w:rFonts w:eastAsia="Times New Roman" w:cstheme="minorHAnsi"/>
            <w:b/>
            <w:bCs/>
            <w:color w:val="FF6E00"/>
            <w:u w:val="none"/>
            <w:lang w:val="en-PH"/>
          </w:rPr>
          <w:t>FATF</w:t>
        </w:r>
      </w:hyperlink>
      <w:r w:rsidRPr="00067855">
        <w:rPr>
          <w:rFonts w:eastAsia="Times New Roman" w:cstheme="minorHAnsi"/>
          <w:lang w:val="en-PH"/>
        </w:rPr>
        <w:t xml:space="preserve">). </w:t>
      </w:r>
    </w:p>
    <w:p w14:paraId="07BB9995" w14:textId="77777777" w:rsidR="00967E59" w:rsidRPr="00067855" w:rsidRDefault="00967E59" w:rsidP="00067855">
      <w:pPr>
        <w:spacing w:after="0" w:line="240" w:lineRule="auto"/>
        <w:ind w:left="360"/>
        <w:jc w:val="both"/>
        <w:rPr>
          <w:rFonts w:eastAsia="Times New Roman" w:cstheme="minorHAnsi"/>
          <w:lang w:val="en-PH"/>
        </w:rPr>
      </w:pPr>
    </w:p>
    <w:p w14:paraId="5F20DB50"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is considered a virtual asset in Gibraltar?</w:t>
      </w:r>
    </w:p>
    <w:p w14:paraId="63D15059" w14:textId="77777777" w:rsidR="00967E59" w:rsidRPr="00067855" w:rsidRDefault="00967E59" w:rsidP="00067855">
      <w:pPr>
        <w:spacing w:after="0" w:line="240" w:lineRule="auto"/>
        <w:ind w:left="360"/>
        <w:jc w:val="both"/>
        <w:rPr>
          <w:rFonts w:eastAsia="Times New Roman" w:cstheme="minorHAnsi"/>
          <w:lang w:val="en-PH"/>
        </w:rPr>
      </w:pPr>
    </w:p>
    <w:p w14:paraId="0A8A815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According to the Proceeds of Crime Act 2015 </w:t>
      </w:r>
      <w:hyperlink r:id="rId12" w:tgtFrame="_blank" w:history="1">
        <w:r w:rsidRPr="00067855">
          <w:rPr>
            <w:rStyle w:val="Hyperlink"/>
            <w:rFonts w:eastAsia="Times New Roman" w:cstheme="minorHAnsi"/>
            <w:color w:val="FF6E00"/>
            <w:u w:val="none"/>
            <w:lang w:val="en-PH"/>
          </w:rPr>
          <w:t>(Transfer of Virtual Assets) Regulations 2021</w:t>
        </w:r>
      </w:hyperlink>
      <w:r w:rsidRPr="00067855">
        <w:rPr>
          <w:rFonts w:eastAsia="Times New Roman" w:cstheme="minorHAnsi"/>
          <w:lang w:val="en-PH"/>
        </w:rPr>
        <w:t xml:space="preserve">, a virtual asset is </w:t>
      </w:r>
      <w:r w:rsidRPr="00967E59">
        <w:rPr>
          <w:rFonts w:eastAsia="Times New Roman" w:cstheme="minorHAnsi"/>
          <w:i/>
          <w:iCs/>
          <w:lang w:val="en-PH"/>
        </w:rPr>
        <w:t>"any digital representation of value that can be digitally traded or transferred and can be used for payment or investment purposes, but does not include digital representations of fiat currencies and securities."</w:t>
      </w:r>
    </w:p>
    <w:p w14:paraId="71DBDE97" w14:textId="77777777" w:rsidR="00967E59" w:rsidRPr="00067855" w:rsidRDefault="00967E59" w:rsidP="00067855">
      <w:pPr>
        <w:spacing w:after="0" w:line="240" w:lineRule="auto"/>
        <w:ind w:left="360"/>
        <w:jc w:val="both"/>
        <w:rPr>
          <w:rFonts w:eastAsia="Times New Roman" w:cstheme="minorHAnsi"/>
          <w:lang w:val="en-PH"/>
        </w:rPr>
      </w:pPr>
    </w:p>
    <w:p w14:paraId="7E90314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virtual assets can be bought, sold, held, or transferred using DLT. Under the DLT regulation system, VASPs must have a local presence in the jurisdiction, be licensed and to be compliant with any anti-money laundering AML/CTF regulations.</w:t>
      </w:r>
    </w:p>
    <w:p w14:paraId="16F00FEE" w14:textId="77777777" w:rsidR="00967E59" w:rsidRPr="00067855" w:rsidRDefault="00967E59" w:rsidP="00067855">
      <w:pPr>
        <w:spacing w:after="0" w:line="240" w:lineRule="auto"/>
        <w:ind w:left="360"/>
        <w:jc w:val="both"/>
        <w:rPr>
          <w:rFonts w:eastAsia="Times New Roman" w:cstheme="minorHAnsi"/>
          <w:lang w:val="en-PH"/>
        </w:rPr>
      </w:pPr>
    </w:p>
    <w:p w14:paraId="7CBE7E39"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relevant laws and regulations?</w:t>
      </w:r>
    </w:p>
    <w:p w14:paraId="18EB6FAE" w14:textId="77777777" w:rsidR="00967E59" w:rsidRPr="00067855" w:rsidRDefault="00967E59" w:rsidP="00067855">
      <w:pPr>
        <w:spacing w:after="0" w:line="240" w:lineRule="auto"/>
        <w:ind w:left="360"/>
        <w:jc w:val="both"/>
        <w:rPr>
          <w:rFonts w:eastAsia="Times New Roman" w:cstheme="minorHAnsi"/>
          <w:lang w:val="en-PH"/>
        </w:rPr>
      </w:pPr>
    </w:p>
    <w:p w14:paraId="32FD5B6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Gibraltar has established a comprehensive regulatory framework for virtual assets, which includes several relevant laws, regulations, and guidance documents. Key components of this framework are:</w:t>
      </w:r>
    </w:p>
    <w:p w14:paraId="6E820EAE" w14:textId="77777777" w:rsidR="00967E59" w:rsidRPr="00067855" w:rsidRDefault="00967E59" w:rsidP="00067855">
      <w:pPr>
        <w:spacing w:after="0" w:line="240" w:lineRule="auto"/>
        <w:ind w:left="360"/>
        <w:jc w:val="both"/>
        <w:rPr>
          <w:rFonts w:eastAsia="Times New Roman" w:cstheme="minorHAnsi"/>
          <w:lang w:val="en-PH"/>
        </w:rPr>
      </w:pPr>
    </w:p>
    <w:p w14:paraId="3CA83A49" w14:textId="77777777" w:rsidR="00067855" w:rsidRDefault="00000000" w:rsidP="00067855">
      <w:pPr>
        <w:pStyle w:val="ListParagraph"/>
        <w:numPr>
          <w:ilvl w:val="0"/>
          <w:numId w:val="38"/>
        </w:numPr>
        <w:spacing w:after="0" w:line="240" w:lineRule="auto"/>
        <w:jc w:val="both"/>
        <w:rPr>
          <w:rFonts w:eastAsia="Times New Roman" w:cstheme="minorHAnsi"/>
          <w:lang w:val="en-PH"/>
        </w:rPr>
      </w:pPr>
      <w:hyperlink r:id="rId13" w:tgtFrame="_blank" w:history="1">
        <w:r w:rsidR="00067855" w:rsidRPr="00067855">
          <w:rPr>
            <w:rStyle w:val="Hyperlink"/>
            <w:rFonts w:eastAsia="Times New Roman" w:cstheme="minorHAnsi"/>
            <w:color w:val="FF6E00"/>
            <w:lang w:val="en-PH"/>
          </w:rPr>
          <w:t>The Proceeds of Crime Act 2015 (Transfer of Virtual Assets) Regulations 2021</w:t>
        </w:r>
      </w:hyperlink>
      <w:r w:rsidR="00067855" w:rsidRPr="00067855">
        <w:rPr>
          <w:rFonts w:eastAsia="Times New Roman" w:cstheme="minorHAnsi"/>
          <w:lang w:val="en-PH"/>
        </w:rPr>
        <w:t>: known as the travel rule regulations, require virtual asset service providers to gather specific customer information for transactions equal to or exceeding one thousand euros.</w:t>
      </w:r>
      <w:r w:rsidR="00067855" w:rsidRPr="00067855">
        <w:rPr>
          <w:rFonts w:eastAsia="Times New Roman" w:cstheme="minorHAnsi"/>
          <w:lang w:val="en-PH"/>
        </w:rPr>
        <w:br/>
        <w:t>Additionally, the Proceeds of Crime Act 2015 (Amendment) Regulations 2021 also introduced definitions of virtual asset that has explicitly excluded ‘digital representations of fiat currencies’ and explains registration requirements for businesses involved in tokenised digital asset sales or DLT-based value exchanges. Failure to register or comply may lead to enforcement actions by the GFSC, including registration suspension or cancellation, subject to appeal in the Supreme Court within 28 days of the decision notice.</w:t>
      </w:r>
    </w:p>
    <w:p w14:paraId="003D31B4" w14:textId="77777777" w:rsidR="00967E59" w:rsidRPr="00967E59" w:rsidRDefault="00967E59" w:rsidP="00967E59">
      <w:pPr>
        <w:spacing w:after="0" w:line="240" w:lineRule="auto"/>
        <w:jc w:val="both"/>
        <w:rPr>
          <w:rFonts w:eastAsia="Times New Roman" w:cstheme="minorHAnsi"/>
          <w:lang w:val="en-PH"/>
        </w:rPr>
      </w:pPr>
    </w:p>
    <w:p w14:paraId="7DCFA70E" w14:textId="0D5B5BA8" w:rsidR="00967E59" w:rsidRDefault="00067855" w:rsidP="00967E59">
      <w:pPr>
        <w:pStyle w:val="ListParagraph"/>
        <w:numPr>
          <w:ilvl w:val="0"/>
          <w:numId w:val="38"/>
        </w:numPr>
        <w:spacing w:after="0" w:line="240" w:lineRule="auto"/>
        <w:jc w:val="both"/>
        <w:rPr>
          <w:rFonts w:eastAsia="Times New Roman" w:cstheme="minorHAnsi"/>
          <w:lang w:val="en-PH"/>
        </w:rPr>
      </w:pPr>
      <w:r w:rsidRPr="00067855">
        <w:rPr>
          <w:rFonts w:eastAsia="Times New Roman" w:cstheme="minorHAnsi"/>
          <w:u w:val="single"/>
          <w:lang w:val="en-PH"/>
        </w:rPr>
        <w:t>Financial Services Act, 2019</w:t>
      </w:r>
      <w:r w:rsidRPr="00067855">
        <w:rPr>
          <w:rFonts w:eastAsia="Times New Roman" w:cstheme="minorHAnsi"/>
          <w:lang w:val="en-PH"/>
        </w:rPr>
        <w:t xml:space="preserve">: The FSA provides the GFSC with the necessary powers to regulate and supervise financial activities, including those related to virtual assets. It ensures that any </w:t>
      </w:r>
      <w:r w:rsidRPr="00067855">
        <w:rPr>
          <w:rFonts w:eastAsia="Times New Roman" w:cstheme="minorHAnsi"/>
          <w:lang w:val="en-PH"/>
        </w:rPr>
        <w:lastRenderedPageBreak/>
        <w:t>activities involving virtual assets are conducted in compliance with regulations set by the GFSC.</w:t>
      </w:r>
    </w:p>
    <w:p w14:paraId="6A70E6E1" w14:textId="77777777" w:rsidR="00967E59" w:rsidRPr="00967E59" w:rsidRDefault="00967E59" w:rsidP="00967E59">
      <w:pPr>
        <w:spacing w:after="0" w:line="240" w:lineRule="auto"/>
        <w:jc w:val="both"/>
        <w:rPr>
          <w:rFonts w:eastAsia="Times New Roman" w:cstheme="minorHAnsi"/>
          <w:lang w:val="en-PH"/>
        </w:rPr>
      </w:pPr>
    </w:p>
    <w:p w14:paraId="14631E6F" w14:textId="77777777" w:rsidR="00067855" w:rsidRDefault="00000000" w:rsidP="00067855">
      <w:pPr>
        <w:pStyle w:val="ListParagraph"/>
        <w:numPr>
          <w:ilvl w:val="0"/>
          <w:numId w:val="38"/>
        </w:numPr>
        <w:spacing w:after="0" w:line="240" w:lineRule="auto"/>
        <w:jc w:val="both"/>
        <w:rPr>
          <w:rFonts w:eastAsia="Times New Roman" w:cstheme="minorHAnsi"/>
          <w:lang w:val="en-PH"/>
        </w:rPr>
      </w:pPr>
      <w:hyperlink r:id="rId14" w:tgtFrame="_blank" w:history="1">
        <w:r w:rsidR="00067855" w:rsidRPr="00067855">
          <w:rPr>
            <w:rStyle w:val="Hyperlink"/>
            <w:rFonts w:eastAsia="Times New Roman" w:cstheme="minorHAnsi"/>
            <w:color w:val="FF6E00"/>
            <w:lang w:val="en-PH"/>
          </w:rPr>
          <w:t>DLT Framework</w:t>
        </w:r>
      </w:hyperlink>
      <w:r w:rsidR="00067855" w:rsidRPr="00067855">
        <w:rPr>
          <w:rFonts w:eastAsia="Times New Roman" w:cstheme="minorHAnsi"/>
          <w:lang w:val="en-PH"/>
        </w:rPr>
        <w:t>: Introduced by the GFSC in January 2018, the DLT framework is a purpose-built, principles-based, and flexible regulatory framework for DLT providers. It consists of nine core principles and accompanying guidance notes that focus on areas such as corporate governance, risk management, consumer protection, and financial crime prevention. The principles are:</w:t>
      </w:r>
    </w:p>
    <w:p w14:paraId="7CF6A4C9" w14:textId="77777777" w:rsidR="00967E59" w:rsidRPr="00967E59" w:rsidRDefault="00967E59" w:rsidP="00967E59">
      <w:pPr>
        <w:spacing w:after="0" w:line="240" w:lineRule="auto"/>
        <w:jc w:val="both"/>
        <w:rPr>
          <w:rFonts w:eastAsia="Times New Roman" w:cstheme="minorHAnsi"/>
          <w:lang w:val="en-PH"/>
        </w:rPr>
      </w:pPr>
    </w:p>
    <w:p w14:paraId="399333C9"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Honesty and integrity: DLT providers must conduct their business with honesty and integrity.</w:t>
      </w:r>
    </w:p>
    <w:p w14:paraId="5F3666FB"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Customer care: Firms must pay due regard to the interests and needs of each and all its customers and must communicate with its customers in a way that is fair, clear, and not misleading.</w:t>
      </w:r>
    </w:p>
    <w:p w14:paraId="45199788"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Resources: A DLT provider must maintain adequate financial and non-financial resources.</w:t>
      </w:r>
    </w:p>
    <w:p w14:paraId="01D708EA"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Risk management: Firms must manage and control their business effectively and take reasonable care to identify, manage, and mitigate risks.</w:t>
      </w:r>
    </w:p>
    <w:p w14:paraId="317D9794"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Protection of client assets: A DLT provider must arrange adequate protection for client assets.</w:t>
      </w:r>
    </w:p>
    <w:p w14:paraId="3A2CE6CE"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Corporate governance: Firms must have effective corporate governance arrangements.</w:t>
      </w:r>
    </w:p>
    <w:p w14:paraId="679F35BD"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Cybersecurity: DLT providers must have systems and security access protocols that are maintained to appropriate high standards.</w:t>
      </w:r>
    </w:p>
    <w:p w14:paraId="61DD89BF" w14:textId="77777777" w:rsidR="00067855" w:rsidRP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Financial crime: Firms must have systems in place to prevent, detect, and disclose financial crime risks like money laundering and terrorist financing.</w:t>
      </w:r>
    </w:p>
    <w:p w14:paraId="0AFA486B" w14:textId="77777777" w:rsidR="00067855" w:rsidRDefault="00067855" w:rsidP="00067855">
      <w:pPr>
        <w:pStyle w:val="ListParagraph"/>
        <w:numPr>
          <w:ilvl w:val="1"/>
          <w:numId w:val="38"/>
        </w:numPr>
        <w:spacing w:after="0" w:line="240" w:lineRule="auto"/>
        <w:jc w:val="both"/>
        <w:rPr>
          <w:rFonts w:eastAsia="Times New Roman" w:cstheme="minorHAnsi"/>
          <w:lang w:val="en-PH"/>
        </w:rPr>
      </w:pPr>
      <w:r w:rsidRPr="00067855">
        <w:rPr>
          <w:rFonts w:eastAsia="Times New Roman" w:cstheme="minorHAnsi"/>
          <w:lang w:val="en-PH"/>
        </w:rPr>
        <w:t>Resilience: DLT providers must have contingency plans in place to ensure they can continue their operations and meet their regulatory obligations during disruptions.</w:t>
      </w:r>
    </w:p>
    <w:p w14:paraId="25F726BB" w14:textId="77777777" w:rsidR="00522398" w:rsidRPr="00067855" w:rsidRDefault="00522398" w:rsidP="00522398">
      <w:pPr>
        <w:pStyle w:val="ListParagraph"/>
        <w:spacing w:after="0" w:line="240" w:lineRule="auto"/>
        <w:ind w:left="1800"/>
        <w:jc w:val="both"/>
        <w:rPr>
          <w:rFonts w:eastAsia="Times New Roman" w:cstheme="minorHAnsi"/>
          <w:lang w:val="en-PH"/>
        </w:rPr>
      </w:pPr>
    </w:p>
    <w:p w14:paraId="3EB8F727" w14:textId="77777777" w:rsidR="00067855" w:rsidRDefault="00000000" w:rsidP="00067855">
      <w:pPr>
        <w:pStyle w:val="ListParagraph"/>
        <w:numPr>
          <w:ilvl w:val="0"/>
          <w:numId w:val="38"/>
        </w:numPr>
        <w:spacing w:after="0" w:line="240" w:lineRule="auto"/>
        <w:jc w:val="both"/>
        <w:rPr>
          <w:rFonts w:eastAsia="Times New Roman" w:cstheme="minorHAnsi"/>
          <w:lang w:val="en-PH"/>
        </w:rPr>
      </w:pPr>
      <w:hyperlink r:id="rId15" w:tgtFrame="_blank" w:history="1">
        <w:r w:rsidR="00067855" w:rsidRPr="00067855">
          <w:rPr>
            <w:rStyle w:val="Hyperlink"/>
            <w:rFonts w:eastAsia="Times New Roman" w:cstheme="minorHAnsi"/>
            <w:color w:val="FF6E00"/>
            <w:lang w:val="en-PH"/>
          </w:rPr>
          <w:t>Guidance Notes</w:t>
        </w:r>
      </w:hyperlink>
      <w:r w:rsidR="00067855" w:rsidRPr="00067855">
        <w:rPr>
          <w:rFonts w:eastAsia="Times New Roman" w:cstheme="minorHAnsi"/>
          <w:lang w:val="en-PH"/>
        </w:rPr>
        <w:t>: The GFSC has issued 10 guidance notes to supplement the DLT framework. These notes provide clarification on various aspects, including regulatory principles, risk management, protection of client assets, financial crime risks, technology and cybersecurity risks, resilience and contingency planning, governance arrangements, fitness and propriety of key individuals, outsourcing arrangements, and conflicts of interest.</w:t>
      </w:r>
    </w:p>
    <w:p w14:paraId="28B727EF" w14:textId="77777777" w:rsidR="00522398" w:rsidRPr="00067855" w:rsidRDefault="00522398" w:rsidP="00522398">
      <w:pPr>
        <w:pStyle w:val="ListParagraph"/>
        <w:spacing w:after="0" w:line="240" w:lineRule="auto"/>
        <w:ind w:left="1080"/>
        <w:jc w:val="both"/>
        <w:rPr>
          <w:rFonts w:eastAsia="Times New Roman" w:cstheme="minorHAnsi"/>
          <w:lang w:val="en-PH"/>
        </w:rPr>
      </w:pPr>
    </w:p>
    <w:p w14:paraId="58EE7B8B" w14:textId="77777777" w:rsidR="00067855" w:rsidRDefault="00000000" w:rsidP="00067855">
      <w:pPr>
        <w:pStyle w:val="ListParagraph"/>
        <w:numPr>
          <w:ilvl w:val="0"/>
          <w:numId w:val="38"/>
        </w:numPr>
        <w:spacing w:after="0" w:line="240" w:lineRule="auto"/>
        <w:jc w:val="both"/>
        <w:rPr>
          <w:rFonts w:eastAsia="Times New Roman" w:cstheme="minorHAnsi"/>
          <w:lang w:val="en-PH"/>
        </w:rPr>
      </w:pPr>
      <w:hyperlink r:id="rId16" w:tgtFrame="_blank" w:history="1">
        <w:r w:rsidR="00067855" w:rsidRPr="00067855">
          <w:rPr>
            <w:rStyle w:val="Hyperlink"/>
            <w:rFonts w:eastAsia="Times New Roman" w:cstheme="minorHAnsi"/>
            <w:color w:val="FF6E00"/>
            <w:lang w:val="en-PH"/>
          </w:rPr>
          <w:t>The Financial Services (Distributed Ledger Technology Providers) Regulations 2020</w:t>
        </w:r>
      </w:hyperlink>
      <w:r w:rsidR="00067855" w:rsidRPr="00067855">
        <w:rPr>
          <w:rFonts w:eastAsia="Times New Roman" w:cstheme="minorHAnsi"/>
          <w:lang w:val="en-PH"/>
        </w:rPr>
        <w:t xml:space="preserve">: is a set of rules that apply in Gibraltar to people who want to create and sell virtual assets. These people first </w:t>
      </w:r>
      <w:proofErr w:type="gramStart"/>
      <w:r w:rsidR="00067855" w:rsidRPr="00067855">
        <w:rPr>
          <w:rFonts w:eastAsia="Times New Roman" w:cstheme="minorHAnsi"/>
          <w:lang w:val="en-PH"/>
        </w:rPr>
        <w:t>have to</w:t>
      </w:r>
      <w:proofErr w:type="gramEnd"/>
      <w:r w:rsidR="00067855" w:rsidRPr="00067855">
        <w:rPr>
          <w:rFonts w:eastAsia="Times New Roman" w:cstheme="minorHAnsi"/>
          <w:lang w:val="en-PH"/>
        </w:rPr>
        <w:t xml:space="preserve"> get permission from the GFSA by submitting an application and relevant documents. These regulations cover the conditions for getting permission, the ongoing obligations that must be met, and the regulatory principles that must be followed. It's to note that these regulations don't stop people from creating virtual assets, but strict rules must be followed when doing so.</w:t>
      </w:r>
    </w:p>
    <w:p w14:paraId="7A1C554B" w14:textId="77777777" w:rsidR="00522398" w:rsidRPr="00522398" w:rsidRDefault="00522398" w:rsidP="00522398">
      <w:pPr>
        <w:spacing w:after="0" w:line="240" w:lineRule="auto"/>
        <w:jc w:val="both"/>
        <w:rPr>
          <w:rFonts w:eastAsia="Times New Roman" w:cstheme="minorHAnsi"/>
          <w:lang w:val="en-PH"/>
        </w:rPr>
      </w:pPr>
    </w:p>
    <w:p w14:paraId="50065E4F" w14:textId="71E36EA7" w:rsidR="00067855" w:rsidRDefault="00000000" w:rsidP="00067855">
      <w:pPr>
        <w:pStyle w:val="ListParagraph"/>
        <w:numPr>
          <w:ilvl w:val="0"/>
          <w:numId w:val="38"/>
        </w:numPr>
        <w:spacing w:after="0" w:line="240" w:lineRule="auto"/>
        <w:jc w:val="both"/>
        <w:rPr>
          <w:rFonts w:eastAsia="Times New Roman" w:cstheme="minorHAnsi"/>
          <w:lang w:val="en-PH"/>
        </w:rPr>
      </w:pPr>
      <w:hyperlink r:id="rId17" w:history="1">
        <w:r w:rsidR="00067855" w:rsidRPr="00522398">
          <w:rPr>
            <w:rStyle w:val="Hyperlink"/>
            <w:rFonts w:eastAsia="Times New Roman" w:cstheme="minorHAnsi"/>
            <w:color w:val="FF6E00"/>
            <w:lang w:val="en-PH"/>
          </w:rPr>
          <w:t>AML/CFT Regime</w:t>
        </w:r>
      </w:hyperlink>
      <w:r w:rsidR="00067855" w:rsidRPr="00067855">
        <w:rPr>
          <w:rFonts w:eastAsia="Times New Roman" w:cstheme="minorHAnsi"/>
          <w:lang w:val="en-PH"/>
        </w:rPr>
        <w:t>: Gibraltar adheres to international AML/CFT regulations for VASPs in line with the recommendations set forth by the FATF. The Proceeds of Crime Act 2015 and the Criminal Justice (Proceeds of Crime) (Amendment) Regulations 2019 are examples of relevant legislation addressing AML/CFT requirements in Gibraltar.</w:t>
      </w:r>
    </w:p>
    <w:p w14:paraId="39E9CC53" w14:textId="77777777" w:rsidR="00522398" w:rsidRPr="00522398" w:rsidRDefault="00522398" w:rsidP="00522398">
      <w:pPr>
        <w:spacing w:after="0" w:line="240" w:lineRule="auto"/>
        <w:jc w:val="both"/>
        <w:rPr>
          <w:rFonts w:eastAsia="Times New Roman" w:cstheme="minorHAnsi"/>
          <w:lang w:val="en-PH"/>
        </w:rPr>
      </w:pPr>
    </w:p>
    <w:p w14:paraId="4CA7FDAE" w14:textId="77777777" w:rsidR="00522398" w:rsidRPr="00522398" w:rsidRDefault="00522398" w:rsidP="00522398">
      <w:pPr>
        <w:spacing w:after="0" w:line="240" w:lineRule="auto"/>
        <w:jc w:val="both"/>
        <w:rPr>
          <w:rFonts w:eastAsia="Times New Roman" w:cstheme="minorHAnsi"/>
          <w:lang w:val="en-PH"/>
        </w:rPr>
      </w:pPr>
    </w:p>
    <w:p w14:paraId="1F5CDC3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Who do such laws and regulations apply to?</w:t>
      </w:r>
    </w:p>
    <w:p w14:paraId="4620B330" w14:textId="77777777" w:rsidR="00CB6FEF" w:rsidRPr="00067855" w:rsidRDefault="00CB6FEF" w:rsidP="00067855">
      <w:pPr>
        <w:spacing w:after="0" w:line="240" w:lineRule="auto"/>
        <w:ind w:left="360"/>
        <w:jc w:val="both"/>
        <w:rPr>
          <w:rFonts w:eastAsia="Times New Roman" w:cstheme="minorHAnsi"/>
          <w:lang w:val="en-PH"/>
        </w:rPr>
      </w:pPr>
    </w:p>
    <w:p w14:paraId="4879B3F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virtual assets laws and regulations in Gibraltar are primarily designed for DLT providers, encompassing a wide range of activities related to virtual assets and blockchain technology. DLT providers include firms that use DLT for storing or transmitting value belonging to others, such as cryptocurrency exchanges, wallet service providers, and other businesses that facilitate the transfer, storage, or management of virtual assets.</w:t>
      </w:r>
    </w:p>
    <w:p w14:paraId="2B3F8631" w14:textId="77777777" w:rsidR="00CB6FEF" w:rsidRPr="00067855" w:rsidRDefault="00CB6FEF" w:rsidP="00067855">
      <w:pPr>
        <w:spacing w:after="0" w:line="240" w:lineRule="auto"/>
        <w:ind w:left="360"/>
        <w:jc w:val="both"/>
        <w:rPr>
          <w:rFonts w:eastAsia="Times New Roman" w:cstheme="minorHAnsi"/>
          <w:lang w:val="en-PH"/>
        </w:rPr>
      </w:pPr>
    </w:p>
    <w:p w14:paraId="7FFA50E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Who are the relevant regulatory authorities in relation to virtual assets in Gibraltar?</w:t>
      </w:r>
    </w:p>
    <w:p w14:paraId="4322842F" w14:textId="77777777" w:rsidR="00CB6FEF" w:rsidRPr="00067855" w:rsidRDefault="00CB6FEF" w:rsidP="00067855">
      <w:pPr>
        <w:spacing w:after="0" w:line="240" w:lineRule="auto"/>
        <w:ind w:left="360"/>
        <w:jc w:val="both"/>
        <w:rPr>
          <w:rFonts w:eastAsia="Times New Roman" w:cstheme="minorHAnsi"/>
          <w:lang w:val="en-PH"/>
        </w:rPr>
      </w:pPr>
    </w:p>
    <w:p w14:paraId="40FF0BB5"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serves as the primary regulatory authority in Gibraltar, overseeing virtual assets and DLT. As an independent statutory body, the GFSC is responsible for the regulation and supervision of financial services in Gibraltar, including the virtual assets sector.</w:t>
      </w:r>
    </w:p>
    <w:p w14:paraId="13E90E02" w14:textId="77777777" w:rsidR="00CB6FEF" w:rsidRPr="00067855" w:rsidRDefault="00CB6FEF" w:rsidP="00067855">
      <w:pPr>
        <w:spacing w:after="0" w:line="240" w:lineRule="auto"/>
        <w:ind w:left="360"/>
        <w:jc w:val="both"/>
        <w:rPr>
          <w:rFonts w:eastAsia="Times New Roman" w:cstheme="minorHAnsi"/>
          <w:lang w:val="en-PH"/>
        </w:rPr>
      </w:pPr>
    </w:p>
    <w:p w14:paraId="1370EB6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GFSC's role in the DLT and virtual assets sector includes:</w:t>
      </w:r>
    </w:p>
    <w:p w14:paraId="02C5FC0C" w14:textId="77777777" w:rsidR="00CB6FEF" w:rsidRPr="00067855" w:rsidRDefault="00CB6FEF" w:rsidP="00067855">
      <w:pPr>
        <w:spacing w:after="0" w:line="240" w:lineRule="auto"/>
        <w:ind w:left="360"/>
        <w:jc w:val="both"/>
        <w:rPr>
          <w:rFonts w:eastAsia="Times New Roman" w:cstheme="minorHAnsi"/>
          <w:lang w:val="en-PH"/>
        </w:rPr>
      </w:pPr>
    </w:p>
    <w:p w14:paraId="6E03C7A6" w14:textId="77777777" w:rsidR="00067855" w:rsidRDefault="00067855" w:rsidP="00067855">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Regulation and licensing</w:t>
      </w:r>
      <w:r w:rsidRPr="00067855">
        <w:rPr>
          <w:rFonts w:eastAsia="Times New Roman" w:cstheme="minorHAnsi"/>
          <w:lang w:val="en-PH"/>
        </w:rPr>
        <w:t>: The GFSC regulates and licenses DLT firms and activities, such as:</w:t>
      </w:r>
    </w:p>
    <w:p w14:paraId="70B8FA36" w14:textId="77777777" w:rsidR="00CB6FEF" w:rsidRPr="00CB6FEF" w:rsidRDefault="00CB6FEF" w:rsidP="00CB6FEF">
      <w:pPr>
        <w:spacing w:after="0" w:line="240" w:lineRule="auto"/>
        <w:jc w:val="both"/>
        <w:rPr>
          <w:rFonts w:eastAsia="Times New Roman" w:cstheme="minorHAnsi"/>
          <w:lang w:val="en-PH"/>
        </w:rPr>
      </w:pPr>
    </w:p>
    <w:p w14:paraId="220F2777" w14:textId="77777777" w:rsidR="00067855" w:rsidRP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 exchanges</w:t>
      </w:r>
    </w:p>
    <w:p w14:paraId="3A69B2F5" w14:textId="77777777" w:rsidR="00067855" w:rsidRP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and asset storage service providers</w:t>
      </w:r>
    </w:p>
    <w:p w14:paraId="040339B9" w14:textId="77777777" w:rsidR="00067855" w:rsidRP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Crypto-currency purse providers</w:t>
      </w:r>
    </w:p>
    <w:p w14:paraId="0ACA2416" w14:textId="77777777" w:rsidR="00067855" w:rsidRDefault="00067855" w:rsidP="00067855">
      <w:pPr>
        <w:pStyle w:val="ListParagraph"/>
        <w:numPr>
          <w:ilvl w:val="1"/>
          <w:numId w:val="39"/>
        </w:numPr>
        <w:spacing w:after="0" w:line="240" w:lineRule="auto"/>
        <w:jc w:val="both"/>
        <w:rPr>
          <w:rFonts w:eastAsia="Times New Roman" w:cstheme="minorHAnsi"/>
          <w:lang w:val="en-PH"/>
        </w:rPr>
      </w:pPr>
      <w:r w:rsidRPr="00067855">
        <w:rPr>
          <w:rFonts w:eastAsia="Times New Roman" w:cstheme="minorHAnsi"/>
          <w:lang w:val="en-PH"/>
        </w:rPr>
        <w:t>DLT-based trading platforms that facilitate the purchase and sale of goods and services</w:t>
      </w:r>
    </w:p>
    <w:p w14:paraId="71060382" w14:textId="77777777" w:rsidR="00CB6FEF" w:rsidRPr="00CB6FEF" w:rsidRDefault="00CB6FEF" w:rsidP="00CB6FEF">
      <w:pPr>
        <w:spacing w:after="0" w:line="240" w:lineRule="auto"/>
        <w:ind w:left="1800"/>
        <w:jc w:val="both"/>
        <w:rPr>
          <w:rFonts w:eastAsia="Times New Roman" w:cstheme="minorHAnsi"/>
          <w:lang w:val="en-PH"/>
        </w:rPr>
      </w:pPr>
    </w:p>
    <w:p w14:paraId="07D7041D"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Authorisation and licensing of DLT suppliers:</w:t>
      </w:r>
      <w:r w:rsidRPr="00067855">
        <w:rPr>
          <w:rFonts w:eastAsia="Times New Roman" w:cstheme="minorHAnsi"/>
          <w:lang w:val="en-PH"/>
        </w:rPr>
        <w:t xml:space="preserve"> The GFSC is responsible for authorising and licensing DLT suppliers, including distributors like cryptocurrency exchanges and depositories.</w:t>
      </w:r>
    </w:p>
    <w:p w14:paraId="272FD8BD" w14:textId="77777777" w:rsidR="00CB6FEF" w:rsidRPr="00CB6FEF" w:rsidRDefault="00CB6FEF" w:rsidP="00A22169">
      <w:pPr>
        <w:spacing w:after="0" w:line="240" w:lineRule="auto"/>
        <w:jc w:val="both"/>
        <w:rPr>
          <w:rFonts w:eastAsia="Times New Roman" w:cstheme="minorHAnsi"/>
          <w:lang w:val="en-PH"/>
        </w:rPr>
      </w:pPr>
    </w:p>
    <w:p w14:paraId="5EC56EC7"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Active supervision and enforcement</w:t>
      </w:r>
      <w:r w:rsidRPr="00067855">
        <w:rPr>
          <w:rFonts w:eastAsia="Times New Roman" w:cstheme="minorHAnsi"/>
          <w:lang w:val="en-PH"/>
        </w:rPr>
        <w:t>: The GFSC actively supervises and enforces DLT regulations in Gibraltar, ensuring that licensed entities comply with international standards and maintain high levels of corporate governance, risk management, and consumer protection.</w:t>
      </w:r>
    </w:p>
    <w:p w14:paraId="27BB3E5C" w14:textId="77777777" w:rsidR="00CB6FEF" w:rsidRPr="00CB6FEF" w:rsidRDefault="00CB6FEF" w:rsidP="00A22169">
      <w:pPr>
        <w:spacing w:after="0" w:line="240" w:lineRule="auto"/>
        <w:jc w:val="both"/>
        <w:rPr>
          <w:rFonts w:eastAsia="Times New Roman" w:cstheme="minorHAnsi"/>
          <w:lang w:val="en-PH"/>
        </w:rPr>
      </w:pPr>
    </w:p>
    <w:p w14:paraId="5737A281" w14:textId="77777777" w:rsidR="00067855" w:rsidRDefault="00067855" w:rsidP="00A22169">
      <w:pPr>
        <w:pStyle w:val="ListParagraph"/>
        <w:numPr>
          <w:ilvl w:val="0"/>
          <w:numId w:val="39"/>
        </w:numPr>
        <w:spacing w:after="0" w:line="240" w:lineRule="auto"/>
        <w:jc w:val="both"/>
        <w:rPr>
          <w:rFonts w:eastAsia="Times New Roman" w:cstheme="minorHAnsi"/>
          <w:lang w:val="en-PH"/>
        </w:rPr>
      </w:pPr>
      <w:r w:rsidRPr="00067855">
        <w:rPr>
          <w:rFonts w:eastAsia="Times New Roman" w:cstheme="minorHAnsi"/>
          <w:u w:val="single"/>
          <w:lang w:val="en-PH"/>
        </w:rPr>
        <w:t>Guidance and regulatory updates</w:t>
      </w:r>
      <w:r w:rsidRPr="00067855">
        <w:rPr>
          <w:rFonts w:eastAsia="Times New Roman" w:cstheme="minorHAnsi"/>
          <w:lang w:val="en-PH"/>
        </w:rPr>
        <w:t>: The GFSC issues guidance notes and regulatory updates to help DLT providers understand and comply with their obligations under the DLT regulatory framework.</w:t>
      </w:r>
    </w:p>
    <w:p w14:paraId="4291A7D3" w14:textId="77777777" w:rsidR="00CB6FEF" w:rsidRPr="00CB6FEF" w:rsidRDefault="00CB6FEF" w:rsidP="00CB6FEF">
      <w:pPr>
        <w:spacing w:after="0" w:line="240" w:lineRule="auto"/>
        <w:jc w:val="both"/>
        <w:rPr>
          <w:rFonts w:eastAsia="Times New Roman" w:cstheme="minorHAnsi"/>
          <w:lang w:val="en-PH"/>
        </w:rPr>
      </w:pPr>
    </w:p>
    <w:p w14:paraId="0C62236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Gibraltar New Technologies Association (</w:t>
      </w:r>
      <w:hyperlink r:id="rId18" w:tgtFrame="_blank" w:history="1">
        <w:r w:rsidRPr="00067855">
          <w:rPr>
            <w:rStyle w:val="Hyperlink"/>
            <w:rFonts w:eastAsia="Times New Roman" w:cstheme="minorHAnsi"/>
            <w:b/>
            <w:bCs/>
            <w:color w:val="FF6E00"/>
            <w:u w:val="none"/>
            <w:lang w:val="en-PH"/>
          </w:rPr>
          <w:t>GANT</w:t>
        </w:r>
      </w:hyperlink>
      <w:r w:rsidRPr="00067855">
        <w:rPr>
          <w:rFonts w:eastAsia="Times New Roman" w:cstheme="minorHAnsi"/>
          <w:lang w:val="en-PH"/>
        </w:rPr>
        <w:t>) has also been established to promote the development of blockchain and DLT.</w:t>
      </w:r>
    </w:p>
    <w:p w14:paraId="28FC12C8" w14:textId="77777777" w:rsidR="00CB6FEF" w:rsidRPr="00067855" w:rsidRDefault="00CB6FEF" w:rsidP="00067855">
      <w:pPr>
        <w:spacing w:after="0" w:line="240" w:lineRule="auto"/>
        <w:ind w:left="360"/>
        <w:jc w:val="both"/>
        <w:rPr>
          <w:rFonts w:eastAsia="Times New Roman" w:cstheme="minorHAnsi"/>
          <w:lang w:val="en-PH"/>
        </w:rPr>
      </w:pPr>
    </w:p>
    <w:p w14:paraId="2BF4050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penalties for breaches of virtual asset laws and regulations in Gibraltar?</w:t>
      </w:r>
    </w:p>
    <w:p w14:paraId="062312F2" w14:textId="77777777" w:rsidR="00CB6FEF" w:rsidRPr="00067855" w:rsidRDefault="00CB6FEF" w:rsidP="00067855">
      <w:pPr>
        <w:spacing w:after="0" w:line="240" w:lineRule="auto"/>
        <w:ind w:left="360"/>
        <w:jc w:val="both"/>
        <w:rPr>
          <w:rFonts w:eastAsia="Times New Roman" w:cstheme="minorHAnsi"/>
          <w:lang w:val="en-PH"/>
        </w:rPr>
      </w:pPr>
    </w:p>
    <w:p w14:paraId="4B71874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breaches of virtual asset laws and regulations can lead to various penalties and enforcement actions. These include:</w:t>
      </w:r>
    </w:p>
    <w:p w14:paraId="6722EB50" w14:textId="77777777" w:rsidR="00CB6FEF" w:rsidRPr="00067855" w:rsidRDefault="00CB6FEF" w:rsidP="00067855">
      <w:pPr>
        <w:spacing w:after="0" w:line="240" w:lineRule="auto"/>
        <w:ind w:left="360"/>
        <w:jc w:val="both"/>
        <w:rPr>
          <w:rFonts w:eastAsia="Times New Roman" w:cstheme="minorHAnsi"/>
          <w:lang w:val="en-PH"/>
        </w:rPr>
      </w:pPr>
    </w:p>
    <w:p w14:paraId="5D5F8F4D" w14:textId="12662DF9" w:rsidR="00067855" w:rsidRDefault="00000000" w:rsidP="00067855">
      <w:pPr>
        <w:pStyle w:val="ListParagraph"/>
        <w:numPr>
          <w:ilvl w:val="0"/>
          <w:numId w:val="40"/>
        </w:numPr>
        <w:spacing w:after="0" w:line="240" w:lineRule="auto"/>
        <w:jc w:val="both"/>
        <w:rPr>
          <w:rFonts w:eastAsia="Times New Roman" w:cstheme="minorHAnsi"/>
          <w:lang w:val="en-PH"/>
        </w:rPr>
      </w:pPr>
      <w:hyperlink r:id="rId19" w:history="1">
        <w:r w:rsidR="00067855" w:rsidRPr="00CB6FEF">
          <w:rPr>
            <w:rStyle w:val="Hyperlink"/>
            <w:rFonts w:eastAsia="Times New Roman" w:cstheme="minorHAnsi"/>
            <w:color w:val="FF6E00"/>
            <w:lang w:val="en-PH"/>
          </w:rPr>
          <w:t>Penalties</w:t>
        </w:r>
      </w:hyperlink>
      <w:r w:rsidR="00067855" w:rsidRPr="00067855">
        <w:rPr>
          <w:rFonts w:eastAsia="Times New Roman" w:cstheme="minorHAnsi"/>
          <w:lang w:val="en-PH"/>
        </w:rPr>
        <w:t>:</w:t>
      </w:r>
    </w:p>
    <w:p w14:paraId="3DBCA43B" w14:textId="77777777" w:rsidR="00CB6FEF" w:rsidRPr="00CB6FEF" w:rsidRDefault="00CB6FEF" w:rsidP="00CB6FEF">
      <w:pPr>
        <w:spacing w:after="0" w:line="240" w:lineRule="auto"/>
        <w:ind w:left="720"/>
        <w:jc w:val="both"/>
        <w:rPr>
          <w:rFonts w:eastAsia="Times New Roman" w:cstheme="minorHAnsi"/>
          <w:lang w:val="en-PH"/>
        </w:rPr>
      </w:pPr>
    </w:p>
    <w:p w14:paraId="36095504" w14:textId="77777777" w:rsidR="00067855" w:rsidRP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lastRenderedPageBreak/>
        <w:t>Imprisonment and fines</w:t>
      </w:r>
      <w:r w:rsidRPr="00067855">
        <w:rPr>
          <w:rFonts w:eastAsia="Times New Roman" w:cstheme="minorHAnsi"/>
          <w:lang w:val="en-PH"/>
        </w:rPr>
        <w:t>: Individuals failing to comply with regulations can face imprisonment for up to 2 years, fines, or both on conviction.</w:t>
      </w:r>
    </w:p>
    <w:p w14:paraId="1F0F3E57" w14:textId="77777777" w:rsidR="00067855" w:rsidRP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Administrative penalties</w:t>
      </w:r>
      <w:r w:rsidRPr="00067855">
        <w:rPr>
          <w:rFonts w:eastAsia="Times New Roman" w:cstheme="minorHAnsi"/>
          <w:lang w:val="en-PH"/>
        </w:rPr>
        <w:t>: Offenders may face administrative penalties, public statements, cease and desist orders, temporary suspension, or prohibition orders for contravening regulatory requirements.</w:t>
      </w:r>
    </w:p>
    <w:p w14:paraId="26D758D0" w14:textId="3771EFAB" w:rsidR="00067855" w:rsidRDefault="00067855" w:rsidP="00067855">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xml:space="preserve">: Providing DLT services without a license can result in fines of up to £10,000. </w:t>
      </w:r>
    </w:p>
    <w:p w14:paraId="787A7FA0"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2E76E8CC" w14:textId="77777777" w:rsidR="00067855" w:rsidRDefault="00067855" w:rsidP="00067855">
      <w:pPr>
        <w:pStyle w:val="ListParagraph"/>
        <w:numPr>
          <w:ilvl w:val="0"/>
          <w:numId w:val="40"/>
        </w:numPr>
        <w:spacing w:after="0" w:line="240" w:lineRule="auto"/>
        <w:jc w:val="both"/>
        <w:rPr>
          <w:rFonts w:eastAsia="Times New Roman" w:cstheme="minorHAnsi"/>
          <w:lang w:val="en-PH"/>
        </w:rPr>
      </w:pPr>
      <w:r w:rsidRPr="00067855">
        <w:rPr>
          <w:rFonts w:eastAsia="Times New Roman" w:cstheme="minorHAnsi"/>
          <w:u w:val="single"/>
          <w:lang w:val="en-PH"/>
        </w:rPr>
        <w:t>Enforcement Actions</w:t>
      </w:r>
      <w:r w:rsidRPr="00067855">
        <w:rPr>
          <w:rFonts w:eastAsia="Times New Roman" w:cstheme="minorHAnsi"/>
          <w:lang w:val="en-PH"/>
        </w:rPr>
        <w:t>:</w:t>
      </w:r>
    </w:p>
    <w:p w14:paraId="3C3920FC" w14:textId="77777777" w:rsidR="00CB6FEF" w:rsidRPr="00067855" w:rsidRDefault="00CB6FEF" w:rsidP="00CB6FEF">
      <w:pPr>
        <w:pStyle w:val="ListParagraph"/>
        <w:spacing w:after="0" w:line="240" w:lineRule="auto"/>
        <w:ind w:left="1080"/>
        <w:jc w:val="both"/>
        <w:rPr>
          <w:rFonts w:eastAsia="Times New Roman" w:cstheme="minorHAnsi"/>
          <w:lang w:val="en-PH"/>
        </w:rPr>
      </w:pPr>
    </w:p>
    <w:p w14:paraId="22CDADA8" w14:textId="77777777" w:rsidR="00067855" w:rsidRP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Financial penalties</w:t>
      </w:r>
      <w:r w:rsidRPr="00067855">
        <w:rPr>
          <w:rFonts w:eastAsia="Times New Roman" w:cstheme="minorHAnsi"/>
          <w:lang w:val="en-PH"/>
        </w:rPr>
        <w:t>: The GFSC can impose financial penalties of up to £5 million on firms or individuals for breaches.</w:t>
      </w:r>
    </w:p>
    <w:p w14:paraId="478BCDD0" w14:textId="77777777" w:rsidR="00067855" w:rsidRP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Public censure</w:t>
      </w:r>
      <w:r w:rsidRPr="00067855">
        <w:rPr>
          <w:rFonts w:eastAsia="Times New Roman" w:cstheme="minorHAnsi"/>
          <w:lang w:val="en-PH"/>
        </w:rPr>
        <w:t>: GFSC can publicly censure those in breach, impacting their reputation.</w:t>
      </w:r>
    </w:p>
    <w:p w14:paraId="59637EDA" w14:textId="77777777" w:rsidR="00067855" w:rsidRP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Suspension or revocation of authorisation</w:t>
      </w:r>
      <w:r w:rsidRPr="00067855">
        <w:rPr>
          <w:rFonts w:eastAsia="Times New Roman" w:cstheme="minorHAnsi"/>
          <w:lang w:val="en-PH"/>
        </w:rPr>
        <w:t>: GFSC can suspend or revoke authorisation, preventing further provision of virtual asset services.</w:t>
      </w:r>
    </w:p>
    <w:p w14:paraId="59064650" w14:textId="77777777" w:rsidR="00067855" w:rsidRDefault="00067855" w:rsidP="00157D4C">
      <w:pPr>
        <w:pStyle w:val="ListParagraph"/>
        <w:numPr>
          <w:ilvl w:val="1"/>
          <w:numId w:val="40"/>
        </w:numPr>
        <w:spacing w:after="0" w:line="240" w:lineRule="auto"/>
        <w:jc w:val="both"/>
        <w:rPr>
          <w:rFonts w:eastAsia="Times New Roman" w:cstheme="minorHAnsi"/>
          <w:lang w:val="en-PH"/>
        </w:rPr>
      </w:pPr>
      <w:r w:rsidRPr="00067855">
        <w:rPr>
          <w:rFonts w:eastAsia="Times New Roman" w:cstheme="minorHAnsi"/>
          <w:u w:val="single"/>
          <w:lang w:val="en-PH"/>
        </w:rPr>
        <w:t>Criminal prosecution</w:t>
      </w:r>
      <w:r w:rsidRPr="00067855">
        <w:rPr>
          <w:rFonts w:eastAsia="Times New Roman" w:cstheme="minorHAnsi"/>
          <w:lang w:val="en-PH"/>
        </w:rPr>
        <w:t>: Serious breaches may lead to criminal prosecution by law enforcement authorities.</w:t>
      </w:r>
    </w:p>
    <w:p w14:paraId="5749597C" w14:textId="77777777" w:rsidR="00CB6FEF" w:rsidRPr="00067855" w:rsidRDefault="00CB6FEF" w:rsidP="00CB6FEF">
      <w:pPr>
        <w:pStyle w:val="ListParagraph"/>
        <w:spacing w:after="0" w:line="240" w:lineRule="auto"/>
        <w:ind w:left="1800"/>
        <w:jc w:val="both"/>
        <w:rPr>
          <w:rFonts w:eastAsia="Times New Roman" w:cstheme="minorHAnsi"/>
          <w:lang w:val="en-PH"/>
        </w:rPr>
      </w:pPr>
    </w:p>
    <w:p w14:paraId="60C45216" w14:textId="77777777" w:rsidR="00067855" w:rsidRDefault="00067855" w:rsidP="00067855">
      <w:pPr>
        <w:numPr>
          <w:ilvl w:val="0"/>
          <w:numId w:val="19"/>
        </w:numPr>
        <w:spacing w:after="0" w:line="240" w:lineRule="auto"/>
        <w:jc w:val="both"/>
        <w:rPr>
          <w:rFonts w:eastAsia="Times New Roman" w:cstheme="minorHAnsi"/>
          <w:b/>
          <w:bCs/>
          <w:lang w:val="en-PH"/>
        </w:rPr>
      </w:pPr>
      <w:r w:rsidRPr="00067855">
        <w:rPr>
          <w:rFonts w:eastAsia="Times New Roman" w:cstheme="minorHAnsi"/>
          <w:b/>
          <w:bCs/>
          <w:lang w:val="en-PH"/>
        </w:rPr>
        <w:t>Regulation of virtual assets and offerings of virtual assets in Gibraltar</w:t>
      </w:r>
    </w:p>
    <w:p w14:paraId="76B85B9B" w14:textId="77777777" w:rsidR="00495A68" w:rsidRPr="00067855" w:rsidRDefault="00495A68" w:rsidP="00495A68">
      <w:pPr>
        <w:spacing w:after="0" w:line="240" w:lineRule="auto"/>
        <w:ind w:left="360"/>
        <w:jc w:val="both"/>
        <w:rPr>
          <w:rFonts w:eastAsia="Times New Roman" w:cstheme="minorHAnsi"/>
          <w:b/>
          <w:bCs/>
          <w:lang w:val="en-PH"/>
        </w:rPr>
      </w:pPr>
    </w:p>
    <w:p w14:paraId="668E0CD4" w14:textId="77777777" w:rsidR="00067855" w:rsidRDefault="00067855" w:rsidP="00067855">
      <w:pPr>
        <w:spacing w:after="0" w:line="240" w:lineRule="auto"/>
        <w:ind w:left="360"/>
        <w:jc w:val="both"/>
        <w:rPr>
          <w:rFonts w:cstheme="minorHAnsi"/>
          <w:b/>
          <w:bCs/>
          <w:u w:val="single"/>
          <w:lang w:val="en-PH"/>
        </w:rPr>
      </w:pPr>
      <w:r w:rsidRPr="00067855">
        <w:rPr>
          <w:rFonts w:eastAsia="Times New Roman" w:cstheme="minorHAnsi"/>
          <w:u w:val="single"/>
          <w:lang w:val="en-SG"/>
        </w:rPr>
        <w:t xml:space="preserve"> </w:t>
      </w:r>
      <w:r w:rsidRPr="00067855">
        <w:rPr>
          <w:rFonts w:cstheme="minorHAnsi"/>
          <w:b/>
          <w:bCs/>
          <w:u w:val="single"/>
          <w:lang w:val="en-PH"/>
        </w:rPr>
        <w:t>Are virtual assets classified as ‘</w:t>
      </w:r>
      <w:proofErr w:type="gramStart"/>
      <w:r w:rsidRPr="00067855">
        <w:rPr>
          <w:rFonts w:cstheme="minorHAnsi"/>
          <w:b/>
          <w:bCs/>
          <w:u w:val="single"/>
          <w:lang w:val="en-PH"/>
        </w:rPr>
        <w:t>securities’</w:t>
      </w:r>
      <w:proofErr w:type="gramEnd"/>
      <w:r w:rsidRPr="00067855">
        <w:rPr>
          <w:rFonts w:cstheme="minorHAnsi"/>
          <w:b/>
          <w:bCs/>
          <w:u w:val="single"/>
          <w:lang w:val="en-PH"/>
        </w:rPr>
        <w:t xml:space="preserve"> or other regulated financial instruments in Gibraltar?</w:t>
      </w:r>
    </w:p>
    <w:p w14:paraId="0ACEE6A4" w14:textId="77777777" w:rsidR="00495A68" w:rsidRPr="00067855" w:rsidRDefault="00495A68" w:rsidP="00067855">
      <w:pPr>
        <w:spacing w:after="0" w:line="240" w:lineRule="auto"/>
        <w:ind w:left="360"/>
        <w:jc w:val="both"/>
        <w:rPr>
          <w:rFonts w:cstheme="minorHAnsi"/>
          <w:u w:val="single"/>
          <w:lang w:val="en-PH"/>
        </w:rPr>
      </w:pPr>
    </w:p>
    <w:p w14:paraId="728EFE0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virtual assets are not automatically classified as 'securities' or other regulated financial instruments. Instead, the classification of a virtual asset depends on its specific characteristics and the purpose for which it is used.</w:t>
      </w:r>
    </w:p>
    <w:p w14:paraId="543F4475" w14:textId="77777777" w:rsidR="00495A68" w:rsidRPr="00067855" w:rsidRDefault="00495A68" w:rsidP="00067855">
      <w:pPr>
        <w:spacing w:after="0" w:line="240" w:lineRule="auto"/>
        <w:ind w:left="360"/>
        <w:jc w:val="both"/>
        <w:rPr>
          <w:rFonts w:eastAsia="Times New Roman" w:cstheme="minorHAnsi"/>
          <w:lang w:val="en-PH"/>
        </w:rPr>
      </w:pPr>
    </w:p>
    <w:p w14:paraId="72B32FC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w:t>
      </w:r>
      <w:hyperlink r:id="rId20" w:tgtFrame="_blank" w:history="1">
        <w:r w:rsidRPr="00067855">
          <w:rPr>
            <w:rStyle w:val="Hyperlink"/>
            <w:rFonts w:eastAsia="Times New Roman" w:cstheme="minorHAnsi"/>
            <w:color w:val="FF6E00"/>
            <w:u w:val="none"/>
            <w:lang w:val="en-PH"/>
          </w:rPr>
          <w:t>Financial Services (Investment and Fiduciary Services) Act 1989</w:t>
        </w:r>
      </w:hyperlink>
      <w:r w:rsidRPr="00067855">
        <w:rPr>
          <w:rFonts w:eastAsia="Times New Roman" w:cstheme="minorHAnsi"/>
          <w:lang w:val="en-PH"/>
        </w:rPr>
        <w:t xml:space="preserve"> is the primary legislation that governs the regulation of securities and other financial instruments in Gibraltar. It defines a 'security' as any shares, stocks, bonds, debentures, warrants, options, futures, or other instruments of a like nature. Whether a virtual asset falls within the definition of a 'security' under this Act will depend on its specific features. For example, if a virtual asset is structured as a share or bond and provides its holder with ownership rights or an entitlement to receive dividends, it is likely to be classified as a security.</w:t>
      </w:r>
    </w:p>
    <w:p w14:paraId="11787E26" w14:textId="77777777" w:rsidR="00495A68" w:rsidRPr="00067855" w:rsidRDefault="00495A68" w:rsidP="00067855">
      <w:pPr>
        <w:spacing w:after="0" w:line="240" w:lineRule="auto"/>
        <w:ind w:left="360"/>
        <w:jc w:val="both"/>
        <w:rPr>
          <w:rFonts w:eastAsia="Times New Roman" w:cstheme="minorHAnsi"/>
          <w:lang w:val="en-PH"/>
        </w:rPr>
      </w:pPr>
    </w:p>
    <w:p w14:paraId="5F3D913B"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issued guidance on the classification of virtual assets, which provides further details on how virtual assets are classified in Gibraltar. The guidance sets out the factors that the GFSC considers when assessing the regulatory status of a virtual asset.</w:t>
      </w:r>
    </w:p>
    <w:p w14:paraId="5B598FD6" w14:textId="77777777" w:rsidR="00495A68" w:rsidRPr="00067855" w:rsidRDefault="00495A68" w:rsidP="00067855">
      <w:pPr>
        <w:spacing w:after="0" w:line="240" w:lineRule="auto"/>
        <w:ind w:left="360"/>
        <w:jc w:val="both"/>
        <w:rPr>
          <w:rFonts w:eastAsia="Times New Roman" w:cstheme="minorHAnsi"/>
          <w:lang w:val="en-PH"/>
        </w:rPr>
      </w:pPr>
    </w:p>
    <w:p w14:paraId="57F96278"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considers various factors when assessing the regulatory status of a virtual asset, including:</w:t>
      </w:r>
    </w:p>
    <w:p w14:paraId="2D68F53E" w14:textId="77777777" w:rsidR="00495A68" w:rsidRPr="00067855" w:rsidRDefault="00495A68" w:rsidP="00067855">
      <w:pPr>
        <w:spacing w:after="0" w:line="240" w:lineRule="auto"/>
        <w:ind w:left="360"/>
        <w:jc w:val="both"/>
        <w:rPr>
          <w:rFonts w:eastAsia="Times New Roman" w:cstheme="minorHAnsi"/>
          <w:lang w:val="en-PH"/>
        </w:rPr>
      </w:pPr>
    </w:p>
    <w:p w14:paraId="15436DDD"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nature and purpose of the virtual asset</w:t>
      </w:r>
      <w:r w:rsidRPr="00067855">
        <w:rPr>
          <w:rFonts w:eastAsia="Times New Roman" w:cstheme="minorHAnsi"/>
          <w:lang w:val="en-PH"/>
        </w:rPr>
        <w:t>: The GFSC considers the specific features of the virtual asset, such as its functionality, use case, and underlying technology. The GFSC also considers the purpose for which the virtual asset is used, such as whether it is used as a means of payment, a store of value, or a unit of account.</w:t>
      </w:r>
    </w:p>
    <w:p w14:paraId="29CD1DB6" w14:textId="77777777" w:rsidR="00495A68" w:rsidRPr="00067855" w:rsidRDefault="00495A68" w:rsidP="00F5053F">
      <w:pPr>
        <w:pStyle w:val="ListParagraph"/>
        <w:spacing w:after="0" w:line="240" w:lineRule="auto"/>
        <w:ind w:left="1080"/>
        <w:jc w:val="both"/>
        <w:rPr>
          <w:rFonts w:eastAsia="Times New Roman" w:cstheme="minorHAnsi"/>
          <w:lang w:val="en-PH"/>
        </w:rPr>
      </w:pPr>
    </w:p>
    <w:p w14:paraId="56DA69B6"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lastRenderedPageBreak/>
        <w:t>The rights and obligations attached to the virtual asset</w:t>
      </w:r>
      <w:r w:rsidRPr="00067855">
        <w:rPr>
          <w:rFonts w:eastAsia="Times New Roman" w:cstheme="minorHAnsi"/>
          <w:lang w:val="en-PH"/>
        </w:rPr>
        <w:t>: The GFSC considers the rights and obligations that are attached to the virtual asset, such as whether it provides its holder with ownership rights, voting rights, or an entitlement to receive dividends.</w:t>
      </w:r>
    </w:p>
    <w:p w14:paraId="4CFF5CC7" w14:textId="77777777" w:rsidR="00495A68" w:rsidRPr="00495A68" w:rsidRDefault="00495A68" w:rsidP="00F5053F">
      <w:pPr>
        <w:spacing w:after="0" w:line="240" w:lineRule="auto"/>
        <w:jc w:val="both"/>
        <w:rPr>
          <w:rFonts w:eastAsia="Times New Roman" w:cstheme="minorHAnsi"/>
          <w:lang w:val="en-PH"/>
        </w:rPr>
      </w:pPr>
    </w:p>
    <w:p w14:paraId="14164E5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marketing and distribution of the virtual asset</w:t>
      </w:r>
      <w:r w:rsidRPr="00067855">
        <w:rPr>
          <w:rFonts w:eastAsia="Times New Roman" w:cstheme="minorHAnsi"/>
          <w:lang w:val="en-PH"/>
        </w:rPr>
        <w:t>: The GFSC considers how the virtual asset is marketed and distributed, such as whether it is offered to the public or targeted at specific investors.</w:t>
      </w:r>
    </w:p>
    <w:p w14:paraId="553EE5A5" w14:textId="77777777" w:rsidR="00495A68" w:rsidRPr="00495A68" w:rsidRDefault="00495A68" w:rsidP="00F5053F">
      <w:pPr>
        <w:spacing w:after="0" w:line="240" w:lineRule="auto"/>
        <w:jc w:val="both"/>
        <w:rPr>
          <w:rFonts w:eastAsia="Times New Roman" w:cstheme="minorHAnsi"/>
          <w:lang w:val="en-PH"/>
        </w:rPr>
      </w:pPr>
    </w:p>
    <w:p w14:paraId="36C78C83" w14:textId="77777777" w:rsidR="00067855" w:rsidRDefault="00067855" w:rsidP="00F5053F">
      <w:pPr>
        <w:pStyle w:val="ListParagraph"/>
        <w:numPr>
          <w:ilvl w:val="0"/>
          <w:numId w:val="44"/>
        </w:numPr>
        <w:spacing w:after="0" w:line="240" w:lineRule="auto"/>
        <w:jc w:val="both"/>
        <w:rPr>
          <w:rFonts w:eastAsia="Times New Roman" w:cstheme="minorHAnsi"/>
          <w:lang w:val="en-PH"/>
        </w:rPr>
      </w:pPr>
      <w:r w:rsidRPr="00067855">
        <w:rPr>
          <w:rFonts w:eastAsia="Times New Roman" w:cstheme="minorHAnsi"/>
          <w:u w:val="single"/>
          <w:lang w:val="en-PH"/>
        </w:rPr>
        <w:t>The regulatory status of the issuer</w:t>
      </w:r>
      <w:r w:rsidRPr="00067855">
        <w:rPr>
          <w:rFonts w:eastAsia="Times New Roman" w:cstheme="minorHAnsi"/>
          <w:lang w:val="en-PH"/>
        </w:rPr>
        <w:t>: The GFSC considers the regulatory status of the issuer of the virtual asset, such as whether it is authorised or licensed by the GFSC or another regulatory authority.</w:t>
      </w:r>
    </w:p>
    <w:p w14:paraId="48246C29" w14:textId="77777777" w:rsidR="00495A68" w:rsidRPr="00495A68" w:rsidRDefault="00495A68" w:rsidP="00495A68">
      <w:pPr>
        <w:spacing w:after="0" w:line="240" w:lineRule="auto"/>
        <w:jc w:val="both"/>
        <w:rPr>
          <w:rFonts w:eastAsia="Times New Roman" w:cstheme="minorHAnsi"/>
          <w:lang w:val="en-PH"/>
        </w:rPr>
      </w:pPr>
    </w:p>
    <w:p w14:paraId="20664692"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stablecoins and NFTs regulated in Gibraltar?</w:t>
      </w:r>
    </w:p>
    <w:p w14:paraId="05705211" w14:textId="77777777" w:rsidR="00495A68" w:rsidRPr="00067855" w:rsidRDefault="00495A68" w:rsidP="00067855">
      <w:pPr>
        <w:spacing w:after="0" w:line="240" w:lineRule="auto"/>
        <w:ind w:left="360"/>
        <w:jc w:val="both"/>
        <w:rPr>
          <w:rFonts w:eastAsia="Times New Roman" w:cstheme="minorHAnsi"/>
          <w:u w:val="single"/>
          <w:lang w:val="en-PH"/>
        </w:rPr>
      </w:pPr>
    </w:p>
    <w:p w14:paraId="0EAE25B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Gibraltar, the regulation of stablecoins and NFTs depends on their specific characteristics and the purpose for which they are used.</w:t>
      </w:r>
    </w:p>
    <w:p w14:paraId="1484892B" w14:textId="77777777" w:rsidR="00495A68" w:rsidRPr="00067855" w:rsidRDefault="00495A68" w:rsidP="00067855">
      <w:pPr>
        <w:spacing w:after="0" w:line="240" w:lineRule="auto"/>
        <w:ind w:left="360"/>
        <w:jc w:val="both"/>
        <w:rPr>
          <w:rFonts w:eastAsia="Times New Roman" w:cstheme="minorHAnsi"/>
          <w:lang w:val="en-PH"/>
        </w:rPr>
      </w:pPr>
    </w:p>
    <w:p w14:paraId="49EA56D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Stablecoins are a type of virtual asset that is designed to maintain a stable value relative to a specific asset or basket of assets. NFTs are a type of virtual asset that represents ownership of a unique item or piece of content, such as a work of art or collectible.</w:t>
      </w:r>
    </w:p>
    <w:p w14:paraId="760AC37E" w14:textId="77777777" w:rsidR="00495A68" w:rsidRPr="00067855" w:rsidRDefault="00495A68" w:rsidP="00067855">
      <w:pPr>
        <w:spacing w:after="0" w:line="240" w:lineRule="auto"/>
        <w:ind w:left="360"/>
        <w:jc w:val="both"/>
        <w:rPr>
          <w:rFonts w:eastAsia="Times New Roman" w:cstheme="minorHAnsi"/>
          <w:lang w:val="en-PH"/>
        </w:rPr>
      </w:pPr>
    </w:p>
    <w:p w14:paraId="3E126320"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Stablecoins and NFTs are types of virtual assets that are subject to the GFSC's general approach to the regulation of virtual assets in Gibraltar. While the GFSC has not issued any specific guidance on the regulation of stablecoins or NFTs, they may be classified as securities or other regulated financial instruments if they meet the relevant criteria. The GFSC assesses virtual assets, including stablecoins and NFTs, on a case-by-case basis to determine their regulatory status, </w:t>
      </w:r>
      <w:proofErr w:type="gramStart"/>
      <w:r w:rsidRPr="00067855">
        <w:rPr>
          <w:rFonts w:eastAsia="Times New Roman" w:cstheme="minorHAnsi"/>
          <w:lang w:val="en-PH"/>
        </w:rPr>
        <w:t>taking into account</w:t>
      </w:r>
      <w:proofErr w:type="gramEnd"/>
      <w:r w:rsidRPr="00067855">
        <w:rPr>
          <w:rFonts w:eastAsia="Times New Roman" w:cstheme="minorHAnsi"/>
          <w:lang w:val="en-PH"/>
        </w:rPr>
        <w:t xml:space="preserve"> various factors such as their specific features, the rights and obligations attached to them, and the purpose for which they are used.</w:t>
      </w:r>
    </w:p>
    <w:p w14:paraId="4AA34E17" w14:textId="77777777" w:rsidR="00495A68" w:rsidRPr="00067855" w:rsidRDefault="00495A68" w:rsidP="00067855">
      <w:pPr>
        <w:spacing w:after="0" w:line="240" w:lineRule="auto"/>
        <w:ind w:left="360"/>
        <w:jc w:val="both"/>
        <w:rPr>
          <w:rFonts w:eastAsia="Times New Roman" w:cstheme="minorHAnsi"/>
          <w:lang w:val="en-PH"/>
        </w:rPr>
      </w:pPr>
    </w:p>
    <w:p w14:paraId="6271A77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decentralised finance (DeFi) activities (e.g. lending virtual assets) regulated in Gibraltar?</w:t>
      </w:r>
    </w:p>
    <w:p w14:paraId="37FC4B00" w14:textId="77777777" w:rsidR="00495A68" w:rsidRPr="00067855" w:rsidRDefault="00495A68" w:rsidP="00067855">
      <w:pPr>
        <w:spacing w:after="0" w:line="240" w:lineRule="auto"/>
        <w:ind w:left="360"/>
        <w:jc w:val="both"/>
        <w:rPr>
          <w:rFonts w:eastAsia="Times New Roman" w:cstheme="minorHAnsi"/>
          <w:u w:val="single"/>
          <w:lang w:val="en-PH"/>
        </w:rPr>
      </w:pPr>
    </w:p>
    <w:p w14:paraId="3D32DFE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DeFi activities, such as lending virtual assets, may be regulated in Gibraltar under the Financial Services (Distributed Ledger Technology Providers) Regulations 2020. However, it's important to note that the regulations do not specifically mention DeFi activities, but rather apply to DLT providers that use DLT to store or transfer value belonging to others.</w:t>
      </w:r>
    </w:p>
    <w:p w14:paraId="044484A0" w14:textId="77777777" w:rsidR="00495A68" w:rsidRPr="00067855" w:rsidRDefault="00495A68" w:rsidP="00067855">
      <w:pPr>
        <w:spacing w:after="0" w:line="240" w:lineRule="auto"/>
        <w:ind w:left="360"/>
        <w:jc w:val="both"/>
        <w:rPr>
          <w:rFonts w:eastAsia="Times New Roman" w:cstheme="minorHAnsi"/>
          <w:lang w:val="en-PH"/>
        </w:rPr>
      </w:pPr>
    </w:p>
    <w:p w14:paraId="63C40F3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Under the Financial Services (Distributed Ledger Technology Providers) Regulations 2020, any person who wishes to provide DLT services, including DeFi activities, must apply for permission to carry out DLT Provider's business under the FSA. The application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along with relevant documents and fees. The GFSC will then assess the nature and complexity of the proposed business model and inform the applicant of any steps that must be taken before applying for permission.</w:t>
      </w:r>
    </w:p>
    <w:p w14:paraId="5669CB56" w14:textId="77777777" w:rsidR="00495A68" w:rsidRPr="00067855" w:rsidRDefault="00495A68" w:rsidP="00067855">
      <w:pPr>
        <w:spacing w:after="0" w:line="240" w:lineRule="auto"/>
        <w:ind w:left="360"/>
        <w:jc w:val="both"/>
        <w:rPr>
          <w:rFonts w:eastAsia="Times New Roman" w:cstheme="minorHAnsi"/>
          <w:lang w:val="en-PH"/>
        </w:rPr>
      </w:pPr>
    </w:p>
    <w:p w14:paraId="73894FB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Once authorised, DLT Providers must comply with certain ongoing obligations, such as maintaining adequate financial and non-financial resources, implementing appropriate risk management systems, and complying with anti-money laundering and counter-terrorist financing requirements. DLT Providers must also adhere to the nine regulatory principles given in the regulations, which include </w:t>
      </w:r>
      <w:r w:rsidRPr="00067855">
        <w:rPr>
          <w:rFonts w:eastAsia="Times New Roman" w:cstheme="minorHAnsi"/>
          <w:lang w:val="en-PH"/>
        </w:rPr>
        <w:lastRenderedPageBreak/>
        <w:t>principles such as acting with honesty and integrity, maintaining adequate IT systems and security, and protecting client assets.</w:t>
      </w:r>
    </w:p>
    <w:p w14:paraId="3227181B" w14:textId="77777777" w:rsidR="00495A68" w:rsidRPr="00067855" w:rsidRDefault="00495A68" w:rsidP="00067855">
      <w:pPr>
        <w:spacing w:after="0" w:line="240" w:lineRule="auto"/>
        <w:ind w:left="360"/>
        <w:jc w:val="both"/>
        <w:rPr>
          <w:rFonts w:eastAsia="Times New Roman" w:cstheme="minorHAnsi"/>
          <w:lang w:val="en-PH"/>
        </w:rPr>
      </w:pPr>
    </w:p>
    <w:p w14:paraId="75C49817"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is responsible for supervising and enforcing compliance with the regulations. The GFSC has the power to issue directions and impose administrative penalties if a DLT Provider violates the regulations. The GFSC may also suspend or revoke a DLT Provider's authorisation if it fails to comply with the regulatory requirement.</w:t>
      </w:r>
    </w:p>
    <w:p w14:paraId="1851B3BD" w14:textId="77777777" w:rsidR="00495A68" w:rsidRPr="00067855" w:rsidRDefault="00495A68" w:rsidP="00067855">
      <w:pPr>
        <w:spacing w:after="0" w:line="240" w:lineRule="auto"/>
        <w:ind w:left="360"/>
        <w:jc w:val="both"/>
        <w:rPr>
          <w:rFonts w:eastAsia="Times New Roman" w:cstheme="minorHAnsi"/>
          <w:lang w:val="en-PH"/>
        </w:rPr>
      </w:pPr>
    </w:p>
    <w:p w14:paraId="120B9E93"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restrictions on issuing or publicly offering virtual assets in Gibraltar?</w:t>
      </w:r>
    </w:p>
    <w:p w14:paraId="06018B33" w14:textId="77777777" w:rsidR="00495A68" w:rsidRPr="00067855" w:rsidRDefault="00495A68" w:rsidP="00067855">
      <w:pPr>
        <w:spacing w:after="0" w:line="240" w:lineRule="auto"/>
        <w:ind w:left="360"/>
        <w:jc w:val="both"/>
        <w:rPr>
          <w:rFonts w:eastAsia="Times New Roman" w:cstheme="minorHAnsi"/>
          <w:u w:val="single"/>
          <w:lang w:val="en-PH"/>
        </w:rPr>
      </w:pPr>
    </w:p>
    <w:p w14:paraId="62CF1663"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FSA and the Financial Services (Distributed Ledger Technology Providers) Regulations 2020 in Gibraltar establish a comprehensive regulatory framework for the issuance and public offering of virtual assets. Here are the key requirements and restrictions that apply to individuals and entities engaging in such activities:</w:t>
      </w:r>
    </w:p>
    <w:p w14:paraId="092A7273" w14:textId="77777777" w:rsidR="00495A68" w:rsidRPr="00067855" w:rsidRDefault="00495A68" w:rsidP="00067855">
      <w:pPr>
        <w:spacing w:after="0" w:line="240" w:lineRule="auto"/>
        <w:ind w:left="360"/>
        <w:jc w:val="both"/>
        <w:rPr>
          <w:rFonts w:eastAsia="Times New Roman" w:cstheme="minorHAnsi"/>
          <w:lang w:val="en-PH"/>
        </w:rPr>
      </w:pPr>
    </w:p>
    <w:p w14:paraId="3D9ABB84"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Authorisation requirement</w:t>
      </w:r>
      <w:r w:rsidRPr="00067855">
        <w:rPr>
          <w:rFonts w:eastAsia="Times New Roman" w:cstheme="minorHAnsi"/>
          <w:lang w:val="en-PH"/>
        </w:rPr>
        <w:t xml:space="preserve">: Any person who wishes to issue or publicly offer virtual assets in or from Gibraltar must obtain authorisation from the GFSC as a DLT provider. The authorisation process involves </w:t>
      </w:r>
      <w:proofErr w:type="gramStart"/>
      <w:r w:rsidRPr="00067855">
        <w:rPr>
          <w:rFonts w:eastAsia="Times New Roman" w:cstheme="minorHAnsi"/>
          <w:lang w:val="en-PH"/>
        </w:rPr>
        <w:t>submitting an application</w:t>
      </w:r>
      <w:proofErr w:type="gramEnd"/>
      <w:r w:rsidRPr="00067855">
        <w:rPr>
          <w:rFonts w:eastAsia="Times New Roman" w:cstheme="minorHAnsi"/>
          <w:lang w:val="en-PH"/>
        </w:rPr>
        <w:t xml:space="preserve"> assessment request to the GFSC and providing relevant documents and fees. The GFSC will assess the proposed business model, products and services to be offered, and will provide the applicant with an initial assessment notice informing them of any required steps.</w:t>
      </w:r>
    </w:p>
    <w:p w14:paraId="7C7529B7" w14:textId="77777777" w:rsidR="00495A68" w:rsidRPr="00495A68" w:rsidRDefault="00495A68" w:rsidP="00B367C3">
      <w:pPr>
        <w:spacing w:after="0" w:line="240" w:lineRule="auto"/>
        <w:ind w:left="720"/>
        <w:jc w:val="both"/>
        <w:rPr>
          <w:rFonts w:eastAsia="Times New Roman" w:cstheme="minorHAnsi"/>
          <w:lang w:val="en-PH"/>
        </w:rPr>
      </w:pPr>
    </w:p>
    <w:p w14:paraId="741891D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Regulatory principles</w:t>
      </w:r>
      <w:r w:rsidRPr="00067855">
        <w:rPr>
          <w:rFonts w:eastAsia="Times New Roman" w:cstheme="minorHAnsi"/>
          <w:lang w:val="en-PH"/>
        </w:rPr>
        <w:t>: DLT providers that are authorised to issue or offer virtual assets must comply with the 9 regulatory principles given in the regulations, including conducting business with honesty and integrity, paying due regard to the interests and needs of all customers, and maintaining adequate financial and non-financial resources.</w:t>
      </w:r>
    </w:p>
    <w:p w14:paraId="3C4605CE" w14:textId="77777777" w:rsidR="00495A68" w:rsidRPr="00495A68" w:rsidRDefault="00495A68" w:rsidP="00B367C3">
      <w:pPr>
        <w:spacing w:after="0" w:line="240" w:lineRule="auto"/>
        <w:jc w:val="both"/>
        <w:rPr>
          <w:rFonts w:eastAsia="Times New Roman" w:cstheme="minorHAnsi"/>
          <w:lang w:val="en-PH"/>
        </w:rPr>
      </w:pPr>
    </w:p>
    <w:p w14:paraId="6D9FCB9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General prohibition</w:t>
      </w:r>
      <w:r w:rsidRPr="00067855">
        <w:rPr>
          <w:rFonts w:eastAsia="Times New Roman" w:cstheme="minorHAnsi"/>
          <w:lang w:val="en-PH"/>
        </w:rPr>
        <w:t>: It is a criminal offense to carry out regulated activities related to virtual assets without proper authorisation from the GFSC. This includes issuing or publicly offering virtual assets without authorisation.</w:t>
      </w:r>
    </w:p>
    <w:p w14:paraId="01DBA589" w14:textId="77777777" w:rsidR="00495A68" w:rsidRPr="00495A68" w:rsidRDefault="00495A68" w:rsidP="00B367C3">
      <w:pPr>
        <w:spacing w:after="0" w:line="240" w:lineRule="auto"/>
        <w:jc w:val="both"/>
        <w:rPr>
          <w:rFonts w:eastAsia="Times New Roman" w:cstheme="minorHAnsi"/>
          <w:lang w:val="en-PH"/>
        </w:rPr>
      </w:pPr>
    </w:p>
    <w:p w14:paraId="2652E5BB"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Financial promotion restrictions</w:t>
      </w:r>
      <w:r w:rsidRPr="00067855">
        <w:rPr>
          <w:rFonts w:eastAsia="Times New Roman" w:cstheme="minorHAnsi"/>
          <w:lang w:val="en-PH"/>
        </w:rPr>
        <w:t>: The FSA imposes restrictions on financial promotions related to virtual assets. Any financial promotion must be clear, fair, and not misleading, and must comply with relevant GFSC rules and guidance.</w:t>
      </w:r>
    </w:p>
    <w:p w14:paraId="6FA56597" w14:textId="77777777" w:rsidR="00495A68" w:rsidRPr="00495A68" w:rsidRDefault="00495A68" w:rsidP="00B367C3">
      <w:pPr>
        <w:spacing w:after="0" w:line="240" w:lineRule="auto"/>
        <w:jc w:val="both"/>
        <w:rPr>
          <w:rFonts w:eastAsia="Times New Roman" w:cstheme="minorHAnsi"/>
          <w:lang w:val="en-PH"/>
        </w:rPr>
      </w:pPr>
    </w:p>
    <w:p w14:paraId="55440A7A"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AML/CFT compliance</w:t>
      </w:r>
      <w:r w:rsidRPr="00067855">
        <w:rPr>
          <w:rFonts w:eastAsia="Times New Roman" w:cstheme="minorHAnsi"/>
          <w:lang w:val="en-PH"/>
        </w:rPr>
        <w:t>: DLT providers that issue or offer virtual assets must comply with AML/CFT regulations. This includes conducting customer due diligence, monitoring transactions, and reporting suspicious activity to the relevant authorities.</w:t>
      </w:r>
    </w:p>
    <w:p w14:paraId="6ECCD184" w14:textId="77777777" w:rsidR="00495A68" w:rsidRPr="00495A68" w:rsidRDefault="00495A68" w:rsidP="00B367C3">
      <w:pPr>
        <w:spacing w:after="0" w:line="240" w:lineRule="auto"/>
        <w:jc w:val="both"/>
        <w:rPr>
          <w:rFonts w:eastAsia="Times New Roman" w:cstheme="minorHAnsi"/>
          <w:lang w:val="en-PH"/>
        </w:rPr>
      </w:pPr>
    </w:p>
    <w:p w14:paraId="2E52D877"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Disclosure requirements</w:t>
      </w:r>
      <w:r w:rsidRPr="00067855">
        <w:rPr>
          <w:rFonts w:eastAsia="Times New Roman" w:cstheme="minorHAnsi"/>
          <w:lang w:val="en-PH"/>
        </w:rPr>
        <w:t>: DLT providers that issue or offer virtual assets must provide clear and accurate information to potential investors about the nature of the virtual asset, the risks involved, and the terms of the offer.</w:t>
      </w:r>
    </w:p>
    <w:p w14:paraId="12E3DF96" w14:textId="77777777" w:rsidR="00495A68" w:rsidRPr="00495A68" w:rsidRDefault="00495A68" w:rsidP="00B367C3">
      <w:pPr>
        <w:spacing w:after="0" w:line="240" w:lineRule="auto"/>
        <w:jc w:val="both"/>
        <w:rPr>
          <w:rFonts w:eastAsia="Times New Roman" w:cstheme="minorHAnsi"/>
          <w:lang w:val="en-PH"/>
        </w:rPr>
      </w:pPr>
    </w:p>
    <w:p w14:paraId="3B472785" w14:textId="77777777" w:rsidR="00067855" w:rsidRDefault="00067855" w:rsidP="00B367C3">
      <w:pPr>
        <w:pStyle w:val="ListParagraph"/>
        <w:numPr>
          <w:ilvl w:val="0"/>
          <w:numId w:val="45"/>
        </w:numPr>
        <w:spacing w:after="0" w:line="240" w:lineRule="auto"/>
        <w:jc w:val="both"/>
        <w:rPr>
          <w:rFonts w:eastAsia="Times New Roman" w:cstheme="minorHAnsi"/>
          <w:lang w:val="en-PH"/>
        </w:rPr>
      </w:pPr>
      <w:r w:rsidRPr="00067855">
        <w:rPr>
          <w:rFonts w:eastAsia="Times New Roman" w:cstheme="minorHAnsi"/>
          <w:u w:val="single"/>
          <w:lang w:val="en-PH"/>
        </w:rPr>
        <w:t>Ongoing obligations</w:t>
      </w:r>
      <w:r w:rsidRPr="00067855">
        <w:rPr>
          <w:rFonts w:eastAsia="Times New Roman" w:cstheme="minorHAnsi"/>
          <w:lang w:val="en-PH"/>
        </w:rPr>
        <w:t>: DLT providers that are authorised to issue or offer virtual assets must comply with ongoing regulatory obligations, such as maintaining adequate financial and non-financial resources, implementing appropriate risk management systems, and adhering to AML/CFT regulations.</w:t>
      </w:r>
    </w:p>
    <w:p w14:paraId="5E925ABD" w14:textId="77777777" w:rsidR="00495A68" w:rsidRPr="00495A68" w:rsidRDefault="00495A68" w:rsidP="00495A68">
      <w:pPr>
        <w:pStyle w:val="ListParagraph"/>
        <w:rPr>
          <w:rFonts w:eastAsia="Times New Roman" w:cstheme="minorHAnsi"/>
          <w:lang w:val="en-PH"/>
        </w:rPr>
      </w:pPr>
    </w:p>
    <w:p w14:paraId="3282CA29" w14:textId="77777777" w:rsidR="00495A68" w:rsidRPr="00495A68" w:rsidRDefault="00495A68" w:rsidP="00495A68">
      <w:pPr>
        <w:spacing w:after="0" w:line="240" w:lineRule="auto"/>
        <w:jc w:val="both"/>
        <w:rPr>
          <w:rFonts w:eastAsia="Times New Roman" w:cstheme="minorHAnsi"/>
          <w:lang w:val="en-PH"/>
        </w:rPr>
      </w:pPr>
    </w:p>
    <w:p w14:paraId="33C3EE70" w14:textId="4F8F6FF2"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exemptions to the restrictions on issuing or publicly offering of virtual assets in</w:t>
      </w:r>
      <w:r w:rsidR="002734F3">
        <w:rPr>
          <w:rFonts w:eastAsia="Times New Roman" w:cstheme="minorHAnsi"/>
          <w:b/>
          <w:bCs/>
          <w:u w:val="single"/>
          <w:lang w:val="en-PH"/>
        </w:rPr>
        <w:t xml:space="preserve"> </w:t>
      </w:r>
      <w:r w:rsidRPr="00067855">
        <w:rPr>
          <w:rFonts w:eastAsia="Times New Roman" w:cstheme="minorHAnsi"/>
          <w:b/>
          <w:bCs/>
          <w:u w:val="single"/>
          <w:lang w:val="en-PH"/>
        </w:rPr>
        <w:t>Gibraltar?</w:t>
      </w:r>
    </w:p>
    <w:p w14:paraId="5F3740D3" w14:textId="77777777" w:rsidR="00495A68" w:rsidRPr="00067855" w:rsidRDefault="00495A68" w:rsidP="00067855">
      <w:pPr>
        <w:spacing w:after="0" w:line="240" w:lineRule="auto"/>
        <w:ind w:left="360"/>
        <w:jc w:val="both"/>
        <w:rPr>
          <w:rFonts w:eastAsia="Times New Roman" w:cstheme="minorHAnsi"/>
          <w:u w:val="single"/>
          <w:lang w:val="en-PH"/>
        </w:rPr>
      </w:pPr>
    </w:p>
    <w:p w14:paraId="7E9EFF5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some exemptions to the restrictions on issuing or publicly offering of virtual assets in Gibraltar. The Financial Services (Distributed Ledger Technology Providers) Regulations 2020 provide certain exemptions to the requirement to obtain authorisation as a DLT provider for the issuance or public offering of virtual assets. These exemptions include:</w:t>
      </w:r>
    </w:p>
    <w:p w14:paraId="625C3890" w14:textId="77777777" w:rsidR="00495A68" w:rsidRPr="00067855" w:rsidRDefault="00495A68" w:rsidP="00067855">
      <w:pPr>
        <w:spacing w:after="0" w:line="240" w:lineRule="auto"/>
        <w:ind w:left="360"/>
        <w:jc w:val="both"/>
        <w:rPr>
          <w:rFonts w:eastAsia="Times New Roman" w:cstheme="minorHAnsi"/>
          <w:lang w:val="en-PH"/>
        </w:rPr>
      </w:pPr>
    </w:p>
    <w:p w14:paraId="34B6F02B"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a restricted number of persons</w:t>
      </w:r>
      <w:r w:rsidRPr="00067855">
        <w:rPr>
          <w:rFonts w:eastAsia="Times New Roman" w:cstheme="minorHAnsi"/>
          <w:lang w:val="en-PH"/>
        </w:rPr>
        <w:t>: An offer of virtual assets to a restricted number of persons (not exceeding 150) may be exempt from the requirement to obtain authorisation as a DLT provider, provided that certain conditions are met.</w:t>
      </w:r>
    </w:p>
    <w:p w14:paraId="2C6903AB" w14:textId="77777777" w:rsidR="00495A68" w:rsidRPr="00067855" w:rsidRDefault="00495A68" w:rsidP="0038469A">
      <w:pPr>
        <w:pStyle w:val="ListParagraph"/>
        <w:spacing w:after="0" w:line="240" w:lineRule="auto"/>
        <w:ind w:left="1080"/>
        <w:jc w:val="both"/>
        <w:rPr>
          <w:rFonts w:eastAsia="Times New Roman" w:cstheme="minorHAnsi"/>
          <w:lang w:val="en-PH"/>
        </w:rPr>
      </w:pPr>
    </w:p>
    <w:p w14:paraId="69287EC1"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to existing customers</w:t>
      </w:r>
      <w:r w:rsidRPr="00067855">
        <w:rPr>
          <w:rFonts w:eastAsia="Times New Roman" w:cstheme="minorHAnsi"/>
          <w:lang w:val="en-PH"/>
        </w:rPr>
        <w:t>: An offer of virtual assets to existing customers of a DLT provider, provided that certain conditions are met, may be exempt from the requirement to obtain authorisation as a DLT provider.</w:t>
      </w:r>
    </w:p>
    <w:p w14:paraId="4C5F71FE" w14:textId="77777777" w:rsidR="00495A68" w:rsidRPr="00495A68" w:rsidRDefault="00495A68" w:rsidP="0038469A">
      <w:pPr>
        <w:spacing w:after="0" w:line="240" w:lineRule="auto"/>
        <w:jc w:val="both"/>
        <w:rPr>
          <w:rFonts w:eastAsia="Times New Roman" w:cstheme="minorHAnsi"/>
          <w:lang w:val="en-PH"/>
        </w:rPr>
      </w:pPr>
    </w:p>
    <w:p w14:paraId="5193A9D9"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with a denomination of €100,000 or more</w:t>
      </w:r>
      <w:r w:rsidRPr="00067855">
        <w:rPr>
          <w:rFonts w:eastAsia="Times New Roman" w:cstheme="minorHAnsi"/>
          <w:lang w:val="en-PH"/>
        </w:rPr>
        <w:t>: An offer of virtual assets with a denomination of €100,000 or more, provided that certain conditions are met, may be exempt from the requirement to obtain authorisation as a DLT provider.</w:t>
      </w:r>
    </w:p>
    <w:p w14:paraId="07B8FA66" w14:textId="77777777" w:rsidR="00495A68" w:rsidRPr="00495A68" w:rsidRDefault="00495A68" w:rsidP="0038469A">
      <w:pPr>
        <w:spacing w:after="0" w:line="240" w:lineRule="auto"/>
        <w:jc w:val="both"/>
        <w:rPr>
          <w:rFonts w:eastAsia="Times New Roman" w:cstheme="minorHAnsi"/>
          <w:lang w:val="en-PH"/>
        </w:rPr>
      </w:pPr>
    </w:p>
    <w:p w14:paraId="28E7CDB7" w14:textId="77777777" w:rsidR="00067855" w:rsidRDefault="00067855" w:rsidP="0038469A">
      <w:pPr>
        <w:pStyle w:val="ListParagraph"/>
        <w:numPr>
          <w:ilvl w:val="0"/>
          <w:numId w:val="46"/>
        </w:numPr>
        <w:spacing w:after="0" w:line="240" w:lineRule="auto"/>
        <w:jc w:val="both"/>
        <w:rPr>
          <w:rFonts w:eastAsia="Times New Roman" w:cstheme="minorHAnsi"/>
          <w:lang w:val="en-PH"/>
        </w:rPr>
      </w:pPr>
      <w:r w:rsidRPr="00067855">
        <w:rPr>
          <w:rFonts w:eastAsia="Times New Roman" w:cstheme="minorHAnsi"/>
          <w:u w:val="single"/>
          <w:lang w:val="en-PH"/>
        </w:rPr>
        <w:t>Offers of virtual assets to persons outside of Gibraltar</w:t>
      </w:r>
      <w:r w:rsidRPr="00067855">
        <w:rPr>
          <w:rFonts w:eastAsia="Times New Roman" w:cstheme="minorHAnsi"/>
          <w:lang w:val="en-PH"/>
        </w:rPr>
        <w:t>: An offer of virtual assets to persons outside of Gibraltar may be exempt from the requirement to obtain authorisation as a DLT provider, provided that certain conditions are met.</w:t>
      </w:r>
    </w:p>
    <w:p w14:paraId="3A74F015" w14:textId="77777777" w:rsidR="00F17741" w:rsidRPr="00F17741" w:rsidRDefault="00F17741" w:rsidP="00F17741">
      <w:pPr>
        <w:spacing w:after="0" w:line="240" w:lineRule="auto"/>
        <w:jc w:val="both"/>
        <w:rPr>
          <w:rFonts w:eastAsia="Times New Roman" w:cstheme="minorHAnsi"/>
          <w:lang w:val="en-PH"/>
        </w:rPr>
      </w:pPr>
    </w:p>
    <w:p w14:paraId="5FCB9DD3" w14:textId="77777777" w:rsidR="00067855" w:rsidRDefault="00067855" w:rsidP="00067855">
      <w:pPr>
        <w:numPr>
          <w:ilvl w:val="0"/>
          <w:numId w:val="19"/>
        </w:numPr>
        <w:spacing w:after="0" w:line="240" w:lineRule="auto"/>
        <w:jc w:val="both"/>
        <w:rPr>
          <w:rFonts w:eastAsia="Times New Roman" w:cstheme="minorHAnsi"/>
          <w:b/>
          <w:bCs/>
          <w:lang w:val="en-PH"/>
        </w:rPr>
      </w:pPr>
      <w:r w:rsidRPr="00067855">
        <w:rPr>
          <w:rFonts w:eastAsia="Times New Roman" w:cstheme="minorHAnsi"/>
          <w:b/>
          <w:bCs/>
          <w:lang w:val="en-PH"/>
        </w:rPr>
        <w:t>Regulation of VASPs in Gibraltar</w:t>
      </w:r>
    </w:p>
    <w:p w14:paraId="6EB2BEB0" w14:textId="77777777" w:rsidR="00F17741" w:rsidRPr="00067855" w:rsidRDefault="00F17741" w:rsidP="00F17741">
      <w:pPr>
        <w:spacing w:after="0" w:line="240" w:lineRule="auto"/>
        <w:ind w:left="360"/>
        <w:jc w:val="both"/>
        <w:rPr>
          <w:rFonts w:eastAsia="Times New Roman" w:cstheme="minorHAnsi"/>
          <w:b/>
          <w:bCs/>
          <w:lang w:val="en-PH"/>
        </w:rPr>
      </w:pPr>
    </w:p>
    <w:p w14:paraId="2172984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VASPs operating in Gibraltar subject to regulation? </w:t>
      </w:r>
    </w:p>
    <w:p w14:paraId="720F727A" w14:textId="77777777" w:rsidR="00F17741" w:rsidRPr="00067855" w:rsidRDefault="00F17741" w:rsidP="00067855">
      <w:pPr>
        <w:spacing w:after="0" w:line="240" w:lineRule="auto"/>
        <w:ind w:left="360"/>
        <w:jc w:val="both"/>
        <w:rPr>
          <w:rFonts w:eastAsia="Times New Roman" w:cstheme="minorHAnsi"/>
          <w:bCs/>
          <w:lang w:val="en-PH"/>
        </w:rPr>
      </w:pPr>
    </w:p>
    <w:p w14:paraId="44486921"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operating in Gibraltar are subject to regulation under the Financial Services (Distributed Ledger Technology Providers) Regulations 2020. The regulations define VASPs as any person who, by way of business, provides one or more of the following services:</w:t>
      </w:r>
    </w:p>
    <w:p w14:paraId="1B5948F2" w14:textId="77777777" w:rsidR="00F17741" w:rsidRPr="00067855" w:rsidRDefault="00F17741" w:rsidP="00067855">
      <w:pPr>
        <w:spacing w:after="0" w:line="240" w:lineRule="auto"/>
        <w:ind w:left="360"/>
        <w:jc w:val="both"/>
        <w:rPr>
          <w:rFonts w:eastAsia="Times New Roman" w:cstheme="minorHAnsi"/>
          <w:bCs/>
          <w:lang w:val="en-PH"/>
        </w:rPr>
      </w:pPr>
    </w:p>
    <w:p w14:paraId="28F5FD91" w14:textId="77777777" w:rsidR="00067855" w:rsidRP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exchange between virtual assets and fiat </w:t>
      </w:r>
      <w:proofErr w:type="gramStart"/>
      <w:r w:rsidRPr="00067855">
        <w:rPr>
          <w:rFonts w:eastAsia="Times New Roman" w:cstheme="minorHAnsi"/>
          <w:bCs/>
          <w:lang w:val="en-PH"/>
        </w:rPr>
        <w:t>currencies;</w:t>
      </w:r>
      <w:proofErr w:type="gramEnd"/>
    </w:p>
    <w:p w14:paraId="000D70B5" w14:textId="77777777" w:rsidR="00067855" w:rsidRP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exchange between one or more forms of virtual </w:t>
      </w:r>
      <w:proofErr w:type="gramStart"/>
      <w:r w:rsidRPr="00067855">
        <w:rPr>
          <w:rFonts w:eastAsia="Times New Roman" w:cstheme="minorHAnsi"/>
          <w:bCs/>
          <w:lang w:val="en-PH"/>
        </w:rPr>
        <w:t>assets;</w:t>
      </w:r>
      <w:proofErr w:type="gramEnd"/>
    </w:p>
    <w:p w14:paraId="1EA978BE" w14:textId="77777777" w:rsidR="00067855" w:rsidRP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 xml:space="preserve">transfer of virtual </w:t>
      </w:r>
      <w:proofErr w:type="gramStart"/>
      <w:r w:rsidRPr="00067855">
        <w:rPr>
          <w:rFonts w:eastAsia="Times New Roman" w:cstheme="minorHAnsi"/>
          <w:bCs/>
          <w:lang w:val="en-PH"/>
        </w:rPr>
        <w:t>assets;</w:t>
      </w:r>
      <w:proofErr w:type="gramEnd"/>
    </w:p>
    <w:p w14:paraId="6689D236" w14:textId="77777777" w:rsidR="00067855" w:rsidRP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safekeeping and/or administration of virtual assets or instruments enabling control over virtual assets; and</w:t>
      </w:r>
    </w:p>
    <w:p w14:paraId="50524A24" w14:textId="77777777" w:rsidR="00067855" w:rsidRDefault="00067855" w:rsidP="00067855">
      <w:pPr>
        <w:pStyle w:val="ListParagraph"/>
        <w:numPr>
          <w:ilvl w:val="0"/>
          <w:numId w:val="54"/>
        </w:numPr>
        <w:spacing w:after="0" w:line="240" w:lineRule="auto"/>
        <w:jc w:val="both"/>
        <w:rPr>
          <w:rFonts w:eastAsia="Times New Roman" w:cstheme="minorHAnsi"/>
          <w:bCs/>
          <w:lang w:val="en-PH"/>
        </w:rPr>
      </w:pPr>
      <w:r w:rsidRPr="00067855">
        <w:rPr>
          <w:rFonts w:eastAsia="Times New Roman" w:cstheme="minorHAnsi"/>
          <w:bCs/>
          <w:lang w:val="en-PH"/>
        </w:rPr>
        <w:t>participation in and provision of financial services related to an issuer’s offer and/or sale of a virtual asset.</w:t>
      </w:r>
    </w:p>
    <w:p w14:paraId="5F9405AD" w14:textId="77777777" w:rsidR="00F17741" w:rsidRPr="00067855" w:rsidRDefault="00F17741" w:rsidP="00F17741">
      <w:pPr>
        <w:pStyle w:val="ListParagraph"/>
        <w:spacing w:after="0" w:line="240" w:lineRule="auto"/>
        <w:ind w:left="1080"/>
        <w:jc w:val="both"/>
        <w:rPr>
          <w:rFonts w:eastAsia="Times New Roman" w:cstheme="minorHAnsi"/>
          <w:bCs/>
          <w:lang w:val="en-PH"/>
        </w:rPr>
      </w:pPr>
    </w:p>
    <w:p w14:paraId="7FF32FD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VASPs operating in Gibraltar must obtain authorisation from the GFSC as a DLT provider. The authorisation process involves </w:t>
      </w:r>
      <w:proofErr w:type="gramStart"/>
      <w:r w:rsidRPr="00067855">
        <w:rPr>
          <w:rFonts w:eastAsia="Times New Roman" w:cstheme="minorHAnsi"/>
          <w:bCs/>
          <w:lang w:val="en-PH"/>
        </w:rPr>
        <w:t>submitting an application</w:t>
      </w:r>
      <w:proofErr w:type="gramEnd"/>
      <w:r w:rsidRPr="00067855">
        <w:rPr>
          <w:rFonts w:eastAsia="Times New Roman" w:cstheme="minorHAnsi"/>
          <w:bCs/>
          <w:lang w:val="en-PH"/>
        </w:rPr>
        <w:t xml:space="preserve"> assessment request and providing relevant documents and fees. Once authorised, VASPs must comply with ongoing regulatory obligations such as AML/CFT regulations, maintaining adequate resources, implementing risk management systems, and adhering to regulatory principles such as conducting business with honesty and integrity.</w:t>
      </w:r>
    </w:p>
    <w:p w14:paraId="478CEC7B" w14:textId="77777777" w:rsidR="00F17741" w:rsidRPr="00067855" w:rsidRDefault="00F17741" w:rsidP="00067855">
      <w:pPr>
        <w:spacing w:after="0" w:line="240" w:lineRule="auto"/>
        <w:ind w:left="360"/>
        <w:jc w:val="both"/>
        <w:rPr>
          <w:rFonts w:eastAsia="Times New Roman" w:cstheme="minorHAnsi"/>
          <w:bCs/>
          <w:lang w:val="en-PH"/>
        </w:rPr>
      </w:pPr>
    </w:p>
    <w:p w14:paraId="2F7EAF4F" w14:textId="36909BAF"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lastRenderedPageBreak/>
        <w:t>Are VASPs providing virtual asset services from offshore to persons in Gibraltar subject to regulation in Gibraltar?</w:t>
      </w:r>
    </w:p>
    <w:p w14:paraId="6560023D" w14:textId="77777777" w:rsidR="00F17741" w:rsidRPr="00067855" w:rsidRDefault="00F17741" w:rsidP="00067855">
      <w:pPr>
        <w:spacing w:after="0" w:line="240" w:lineRule="auto"/>
        <w:ind w:left="360"/>
        <w:jc w:val="both"/>
        <w:rPr>
          <w:rFonts w:eastAsia="Times New Roman" w:cstheme="minorHAnsi"/>
          <w:bCs/>
          <w:lang w:val="en-PH"/>
        </w:rPr>
      </w:pPr>
    </w:p>
    <w:p w14:paraId="2A1834B4"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Yes, VASPs providing virtual asset services from offshore to persons in Gibraltar may be subject to regulation in Gibraltar, depending on the nature and scope of their activities.</w:t>
      </w:r>
    </w:p>
    <w:p w14:paraId="1BCD9BC5" w14:textId="77777777" w:rsidR="00F17741" w:rsidRPr="00067855" w:rsidRDefault="00F17741" w:rsidP="00067855">
      <w:pPr>
        <w:spacing w:after="0" w:line="240" w:lineRule="auto"/>
        <w:ind w:left="360"/>
        <w:jc w:val="both"/>
        <w:rPr>
          <w:rFonts w:eastAsia="Times New Roman" w:cstheme="minorHAnsi"/>
          <w:bCs/>
          <w:lang w:val="en-PH"/>
        </w:rPr>
      </w:pPr>
    </w:p>
    <w:p w14:paraId="7DAAB06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Under the Financial Services (Distributed Ledger Technology Providers) Regulations 2020, any person who carries out a "controlled activity" in or from Gibraltar is required to obtain authorisation from the GFSC as a DLT provider. Controlled activities include the exchange, transfer, safekeeping, and administration of virtual assets, as well as the provision of financial services related to an issuer's offer and/or sale of a virtual asset.</w:t>
      </w:r>
    </w:p>
    <w:p w14:paraId="30B5E5DA" w14:textId="77777777" w:rsidR="00F17741" w:rsidRPr="00067855" w:rsidRDefault="00F17741" w:rsidP="00067855">
      <w:pPr>
        <w:spacing w:after="0" w:line="240" w:lineRule="auto"/>
        <w:ind w:left="360"/>
        <w:jc w:val="both"/>
        <w:rPr>
          <w:rFonts w:eastAsia="Times New Roman" w:cstheme="minorHAnsi"/>
          <w:bCs/>
          <w:lang w:val="en-PH"/>
        </w:rPr>
      </w:pPr>
    </w:p>
    <w:p w14:paraId="183E8FE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If a VASP is providing virtual asset services from offshore to persons in Gibraltar, and those services constitute a controlled activity, then the VASP may be required to obtain authorisation from the GFSC. This would depend on various factors, such as the nature and frequency of the services provided, the location of the VASP's headquarters and servers, and the degree of control exercised by the VASP over the virtual assets involved.</w:t>
      </w:r>
    </w:p>
    <w:p w14:paraId="03E6B218" w14:textId="77777777" w:rsidR="00F17741" w:rsidRPr="00067855" w:rsidRDefault="00F17741" w:rsidP="00067855">
      <w:pPr>
        <w:spacing w:after="0" w:line="240" w:lineRule="auto"/>
        <w:ind w:left="360"/>
        <w:jc w:val="both"/>
        <w:rPr>
          <w:rFonts w:eastAsia="Times New Roman" w:cstheme="minorHAnsi"/>
          <w:bCs/>
          <w:lang w:val="en-PH"/>
        </w:rPr>
      </w:pPr>
    </w:p>
    <w:p w14:paraId="3322553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Even if a VASP is not required to obtain authorisation from the GFSC, it may still be subject to other regulatory regimes in Gibraltar, such as AML/CFT regulations.</w:t>
      </w:r>
    </w:p>
    <w:p w14:paraId="0927611C" w14:textId="77777777" w:rsidR="00F17741" w:rsidRPr="00067855" w:rsidRDefault="00F17741" w:rsidP="00067855">
      <w:pPr>
        <w:spacing w:after="0" w:line="240" w:lineRule="auto"/>
        <w:ind w:left="360"/>
        <w:jc w:val="both"/>
        <w:rPr>
          <w:rFonts w:eastAsia="Times New Roman" w:cstheme="minorHAnsi"/>
          <w:bCs/>
          <w:lang w:val="en-PH"/>
        </w:rPr>
      </w:pPr>
    </w:p>
    <w:p w14:paraId="472C452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main requirements for obtaining licensing / registration as a VASP in Gibraltar?</w:t>
      </w:r>
    </w:p>
    <w:p w14:paraId="13C66C5E" w14:textId="77777777" w:rsidR="00F17741" w:rsidRPr="00067855" w:rsidRDefault="00F17741" w:rsidP="00067855">
      <w:pPr>
        <w:spacing w:after="0" w:line="240" w:lineRule="auto"/>
        <w:ind w:left="360"/>
        <w:jc w:val="both"/>
        <w:rPr>
          <w:rFonts w:eastAsia="Times New Roman" w:cstheme="minorHAnsi"/>
          <w:bCs/>
          <w:lang w:val="en-PH"/>
        </w:rPr>
      </w:pPr>
    </w:p>
    <w:p w14:paraId="08667E2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requirements for obtaining licensing/registration as a VASP in Gibraltar are as follows:</w:t>
      </w:r>
    </w:p>
    <w:p w14:paraId="0805A83D" w14:textId="77777777" w:rsidR="00F17741" w:rsidRPr="00067855" w:rsidRDefault="00F17741" w:rsidP="00067855">
      <w:pPr>
        <w:spacing w:after="0" w:line="240" w:lineRule="auto"/>
        <w:ind w:left="360"/>
        <w:jc w:val="both"/>
        <w:rPr>
          <w:rFonts w:eastAsia="Times New Roman" w:cstheme="minorHAnsi"/>
          <w:bCs/>
          <w:lang w:val="en-PH"/>
        </w:rPr>
      </w:pPr>
    </w:p>
    <w:p w14:paraId="5F037257"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submission of an application assessment request to the GFSC, along with relevant documents and </w:t>
      </w:r>
      <w:proofErr w:type="gramStart"/>
      <w:r w:rsidRPr="00067855">
        <w:rPr>
          <w:rFonts w:eastAsia="Times New Roman" w:cstheme="minorHAnsi"/>
          <w:bCs/>
          <w:lang w:val="en-PH"/>
        </w:rPr>
        <w:t>fees;</w:t>
      </w:r>
      <w:proofErr w:type="gramEnd"/>
    </w:p>
    <w:p w14:paraId="22466653"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 detailed business plan outlining the proposed business model, products and services to be offered, and risk management </w:t>
      </w:r>
      <w:proofErr w:type="gramStart"/>
      <w:r w:rsidRPr="00067855">
        <w:rPr>
          <w:rFonts w:eastAsia="Times New Roman" w:cstheme="minorHAnsi"/>
          <w:bCs/>
          <w:lang w:val="en-PH"/>
        </w:rPr>
        <w:t>systems;</w:t>
      </w:r>
      <w:proofErr w:type="gramEnd"/>
    </w:p>
    <w:p w14:paraId="01D03527"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demonstration of adequate financial and non-financial resources to support the proposed business </w:t>
      </w:r>
      <w:proofErr w:type="gramStart"/>
      <w:r w:rsidRPr="00067855">
        <w:rPr>
          <w:rFonts w:eastAsia="Times New Roman" w:cstheme="minorHAnsi"/>
          <w:bCs/>
          <w:lang w:val="en-PH"/>
        </w:rPr>
        <w:t>activities;</w:t>
      </w:r>
      <w:proofErr w:type="gramEnd"/>
    </w:p>
    <w:p w14:paraId="2B93D915"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implementation of appropriate AML/CFT policies and procedures, including customer due diligence and ongoing </w:t>
      </w:r>
      <w:proofErr w:type="gramStart"/>
      <w:r w:rsidRPr="00067855">
        <w:rPr>
          <w:rFonts w:eastAsia="Times New Roman" w:cstheme="minorHAnsi"/>
          <w:bCs/>
          <w:lang w:val="en-PH"/>
        </w:rPr>
        <w:t>monitoring;</w:t>
      </w:r>
      <w:proofErr w:type="gramEnd"/>
    </w:p>
    <w:p w14:paraId="61FBD225"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compliance with the regulatory principles outlined in the Financial Services (Distributed Ledger Technology Providers) Regulations 2020, including conducting business with honesty and integrity, paying due regard to the interests and needs of all customers, and maintaining adequate financial and non-financial </w:t>
      </w:r>
      <w:proofErr w:type="gramStart"/>
      <w:r w:rsidRPr="00067855">
        <w:rPr>
          <w:rFonts w:eastAsia="Times New Roman" w:cstheme="minorHAnsi"/>
          <w:bCs/>
          <w:lang w:val="en-PH"/>
        </w:rPr>
        <w:t>resources;</w:t>
      </w:r>
      <w:proofErr w:type="gramEnd"/>
    </w:p>
    <w:p w14:paraId="14B9CC48"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appointment of a suitable compliance officer and money laundering reporting </w:t>
      </w:r>
      <w:proofErr w:type="gramStart"/>
      <w:r w:rsidRPr="00067855">
        <w:rPr>
          <w:rFonts w:eastAsia="Times New Roman" w:cstheme="minorHAnsi"/>
          <w:bCs/>
          <w:lang w:val="en-PH"/>
        </w:rPr>
        <w:t>officer;</w:t>
      </w:r>
      <w:proofErr w:type="gramEnd"/>
    </w:p>
    <w:p w14:paraId="36DE9CC8"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 xml:space="preserve">provision of adequate IT systems and security measures to protect customer data and </w:t>
      </w:r>
      <w:proofErr w:type="gramStart"/>
      <w:r w:rsidRPr="00067855">
        <w:rPr>
          <w:rFonts w:eastAsia="Times New Roman" w:cstheme="minorHAnsi"/>
          <w:bCs/>
          <w:lang w:val="en-PH"/>
        </w:rPr>
        <w:t>assets;</w:t>
      </w:r>
      <w:proofErr w:type="gramEnd"/>
    </w:p>
    <w:p w14:paraId="15316818" w14:textId="77777777" w:rsidR="00067855" w:rsidRP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maintenance of adequate insurance coverage to protect against potential risks; and</w:t>
      </w:r>
    </w:p>
    <w:p w14:paraId="2373267B" w14:textId="77777777" w:rsidR="00067855" w:rsidRDefault="00067855" w:rsidP="00067855">
      <w:pPr>
        <w:pStyle w:val="ListParagraph"/>
        <w:numPr>
          <w:ilvl w:val="0"/>
          <w:numId w:val="55"/>
        </w:numPr>
        <w:spacing w:after="0" w:line="240" w:lineRule="auto"/>
        <w:jc w:val="both"/>
        <w:rPr>
          <w:rFonts w:eastAsia="Times New Roman" w:cstheme="minorHAnsi"/>
          <w:bCs/>
          <w:lang w:val="en-PH"/>
        </w:rPr>
      </w:pPr>
      <w:r w:rsidRPr="00067855">
        <w:rPr>
          <w:rFonts w:eastAsia="Times New Roman" w:cstheme="minorHAnsi"/>
          <w:bCs/>
          <w:lang w:val="en-PH"/>
        </w:rPr>
        <w:t>compliance with ongoing regulatory reporting and disclosure requirements.</w:t>
      </w:r>
    </w:p>
    <w:p w14:paraId="00F027F8" w14:textId="77777777" w:rsidR="00F17741" w:rsidRPr="00F17741" w:rsidRDefault="00F17741" w:rsidP="00F17741">
      <w:pPr>
        <w:spacing w:after="0" w:line="240" w:lineRule="auto"/>
        <w:jc w:val="both"/>
        <w:rPr>
          <w:rFonts w:eastAsia="Times New Roman" w:cstheme="minorHAnsi"/>
          <w:bCs/>
          <w:lang w:val="en-PH"/>
        </w:rPr>
      </w:pPr>
    </w:p>
    <w:p w14:paraId="1397F449"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Licensing fees for VASPs in Gibraltar are determined by the GFSC and are based on the complexity and risk profile of the applicant's proposed business model. The fees are split into two categories:</w:t>
      </w:r>
    </w:p>
    <w:p w14:paraId="2EAFAE1E" w14:textId="77777777" w:rsidR="00F17741" w:rsidRPr="00067855" w:rsidRDefault="00F17741" w:rsidP="00067855">
      <w:pPr>
        <w:spacing w:after="0" w:line="240" w:lineRule="auto"/>
        <w:ind w:left="360"/>
        <w:jc w:val="both"/>
        <w:rPr>
          <w:rFonts w:eastAsia="Times New Roman" w:cstheme="minorHAnsi"/>
          <w:bCs/>
          <w:lang w:val="en-PH"/>
        </w:rPr>
      </w:pPr>
    </w:p>
    <w:p w14:paraId="47833F74"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Application fee</w:t>
      </w:r>
      <w:r w:rsidRPr="00067855">
        <w:rPr>
          <w:rFonts w:eastAsia="Times New Roman" w:cstheme="minorHAnsi"/>
          <w:bCs/>
          <w:lang w:val="en-PH"/>
        </w:rPr>
        <w:t>: This fee is payable at the time of submitting the application and covers the cost of the GFSC's initial assessment of the application. The application fee is currently set at £2,000.</w:t>
      </w:r>
    </w:p>
    <w:p w14:paraId="2D372503" w14:textId="77777777" w:rsidR="00F17741" w:rsidRPr="00067855" w:rsidRDefault="00F17741" w:rsidP="00572545">
      <w:pPr>
        <w:pStyle w:val="ListParagraph"/>
        <w:spacing w:after="0" w:line="240" w:lineRule="auto"/>
        <w:ind w:left="1080"/>
        <w:jc w:val="both"/>
        <w:rPr>
          <w:rFonts w:eastAsia="Times New Roman" w:cstheme="minorHAnsi"/>
          <w:bCs/>
          <w:lang w:val="en-PH"/>
        </w:rPr>
      </w:pPr>
    </w:p>
    <w:p w14:paraId="1126220E" w14:textId="77777777" w:rsidR="00067855" w:rsidRDefault="00067855" w:rsidP="00572545">
      <w:pPr>
        <w:pStyle w:val="ListParagraph"/>
        <w:numPr>
          <w:ilvl w:val="0"/>
          <w:numId w:val="56"/>
        </w:numPr>
        <w:spacing w:after="0" w:line="240" w:lineRule="auto"/>
        <w:jc w:val="both"/>
        <w:rPr>
          <w:rFonts w:eastAsia="Times New Roman" w:cstheme="minorHAnsi"/>
          <w:bCs/>
          <w:lang w:val="en-PH"/>
        </w:rPr>
      </w:pPr>
      <w:r w:rsidRPr="00067855">
        <w:rPr>
          <w:rFonts w:eastAsia="Times New Roman" w:cstheme="minorHAnsi"/>
          <w:bCs/>
          <w:u w:val="single"/>
          <w:lang w:val="en-PH"/>
        </w:rPr>
        <w:t>Annual fee</w:t>
      </w:r>
      <w:r w:rsidRPr="00067855">
        <w:rPr>
          <w:rFonts w:eastAsia="Times New Roman" w:cstheme="minorHAnsi"/>
          <w:bCs/>
          <w:lang w:val="en-PH"/>
        </w:rPr>
        <w:t>: This fee is payable once the license has been granted and is based on the VASP's annual revenue. The annual fee is calculated on a sliding scale, with the current rates ranging from a minimum of £10,000 to a maximum of £400,000.</w:t>
      </w:r>
    </w:p>
    <w:p w14:paraId="36AE4A61" w14:textId="77777777" w:rsidR="00F17741" w:rsidRPr="00F17741" w:rsidRDefault="00F17741" w:rsidP="00F17741">
      <w:pPr>
        <w:spacing w:after="0" w:line="240" w:lineRule="auto"/>
        <w:jc w:val="both"/>
        <w:rPr>
          <w:rFonts w:eastAsia="Times New Roman" w:cstheme="minorHAnsi"/>
          <w:bCs/>
          <w:lang w:val="en-PH"/>
        </w:rPr>
      </w:pPr>
    </w:p>
    <w:p w14:paraId="7EF52F8D"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It's worth noting that the GFSC may also impose additional fees for specific services, such as on-site inspections or investigations.</w:t>
      </w:r>
    </w:p>
    <w:p w14:paraId="48CCD29E" w14:textId="77777777" w:rsidR="00F17741" w:rsidRPr="00067855" w:rsidRDefault="00F17741" w:rsidP="00067855">
      <w:pPr>
        <w:spacing w:after="0" w:line="240" w:lineRule="auto"/>
        <w:ind w:left="360"/>
        <w:jc w:val="both"/>
        <w:rPr>
          <w:rFonts w:eastAsia="Times New Roman" w:cstheme="minorHAnsi"/>
          <w:bCs/>
          <w:lang w:val="en-PH"/>
        </w:rPr>
      </w:pPr>
    </w:p>
    <w:p w14:paraId="1F2E2478"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 xml:space="preserve">What are the main ongoing requirements for VASPs regulated in Gibraltar? </w:t>
      </w:r>
    </w:p>
    <w:p w14:paraId="71C13D02" w14:textId="77777777" w:rsidR="00F17741" w:rsidRPr="00067855" w:rsidRDefault="00F17741" w:rsidP="00067855">
      <w:pPr>
        <w:spacing w:after="0" w:line="240" w:lineRule="auto"/>
        <w:ind w:left="360"/>
        <w:jc w:val="both"/>
        <w:rPr>
          <w:rFonts w:eastAsia="Times New Roman" w:cstheme="minorHAnsi"/>
          <w:bCs/>
          <w:lang w:val="en-PH"/>
        </w:rPr>
      </w:pPr>
    </w:p>
    <w:p w14:paraId="4839C6F7"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ongoing requirements for VASPs regulated in Gibraltar include:</w:t>
      </w:r>
    </w:p>
    <w:p w14:paraId="66F4F2DC" w14:textId="77777777" w:rsidR="00F17741" w:rsidRPr="00067855" w:rsidRDefault="00F17741" w:rsidP="00067855">
      <w:pPr>
        <w:spacing w:after="0" w:line="240" w:lineRule="auto"/>
        <w:ind w:left="360"/>
        <w:jc w:val="both"/>
        <w:rPr>
          <w:rFonts w:eastAsia="Times New Roman" w:cstheme="minorHAnsi"/>
          <w:bCs/>
          <w:lang w:val="en-PH"/>
        </w:rPr>
      </w:pPr>
    </w:p>
    <w:p w14:paraId="6B92D47C"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AML/CFT regulations</w:t>
      </w:r>
      <w:r w:rsidRPr="00067855">
        <w:rPr>
          <w:rFonts w:eastAsia="Times New Roman" w:cstheme="minorHAnsi"/>
          <w:bCs/>
          <w:lang w:val="en-PH"/>
        </w:rPr>
        <w:t>: VASPs must have appropriate policies, procedures, and controls in place to prevent money laundering and terrorist financing. This includes conducting customer due diligence, monitoring transactions, and reporting suspicious activity to the relevant authorities.</w:t>
      </w:r>
    </w:p>
    <w:p w14:paraId="27411FAD"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7AEE825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Maintenance of adequate financial and non-financial resources</w:t>
      </w:r>
      <w:r w:rsidRPr="00067855">
        <w:rPr>
          <w:rFonts w:eastAsia="Times New Roman" w:cstheme="minorHAnsi"/>
          <w:bCs/>
          <w:lang w:val="en-PH"/>
        </w:rPr>
        <w:t>: VASPs must maintain sufficient financial and non-financial resources to support their business operations and meet their regulatory obligations. This includes maintaining adequate capital, insurance, and liquidity.</w:t>
      </w:r>
    </w:p>
    <w:p w14:paraId="3C868613" w14:textId="77777777" w:rsidR="00172535" w:rsidRPr="00172535" w:rsidRDefault="00172535" w:rsidP="00CC27A9">
      <w:pPr>
        <w:spacing w:after="0" w:line="240" w:lineRule="auto"/>
        <w:jc w:val="both"/>
        <w:rPr>
          <w:rFonts w:eastAsia="Times New Roman" w:cstheme="minorHAnsi"/>
          <w:bCs/>
          <w:lang w:val="en-PH"/>
        </w:rPr>
      </w:pPr>
    </w:p>
    <w:p w14:paraId="2B0A6592"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Implementation of appropriate risk management systems and controls</w:t>
      </w:r>
      <w:r w:rsidRPr="00067855">
        <w:rPr>
          <w:rFonts w:eastAsia="Times New Roman" w:cstheme="minorHAnsi"/>
          <w:bCs/>
          <w:lang w:val="en-PH"/>
        </w:rPr>
        <w:t>: VASPs must have appropriate risk management systems and controls in place to identify, assess, and manage risks associated with their business operations. This includes implementing appropriate IT systems and security measures to protect customer data and assets.</w:t>
      </w:r>
    </w:p>
    <w:p w14:paraId="62EB121C" w14:textId="77777777" w:rsidR="00172535" w:rsidRPr="00172535" w:rsidRDefault="00172535" w:rsidP="00CC27A9">
      <w:pPr>
        <w:spacing w:after="0" w:line="240" w:lineRule="auto"/>
        <w:jc w:val="both"/>
        <w:rPr>
          <w:rFonts w:eastAsia="Times New Roman" w:cstheme="minorHAnsi"/>
          <w:bCs/>
          <w:lang w:val="en-PH"/>
        </w:rPr>
      </w:pPr>
    </w:p>
    <w:p w14:paraId="48E76D87"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Compliance with regulatory principles and guidance</w:t>
      </w:r>
      <w:r w:rsidRPr="00067855">
        <w:rPr>
          <w:rFonts w:eastAsia="Times New Roman" w:cstheme="minorHAnsi"/>
          <w:bCs/>
          <w:lang w:val="en-PH"/>
        </w:rPr>
        <w:t>: VASPs must comply with the 9 core principles and 10 guidance notes issued by the GFSC. This includes conducting business with honesty, integrity, and fairness, and having proper controls and governance arrangements in place.</w:t>
      </w:r>
    </w:p>
    <w:p w14:paraId="3AE89DE9" w14:textId="77777777" w:rsidR="00172535" w:rsidRPr="00172535" w:rsidRDefault="00172535" w:rsidP="00CC27A9">
      <w:pPr>
        <w:spacing w:after="0" w:line="240" w:lineRule="auto"/>
        <w:jc w:val="both"/>
        <w:rPr>
          <w:rFonts w:eastAsia="Times New Roman" w:cstheme="minorHAnsi"/>
          <w:bCs/>
          <w:lang w:val="en-PH"/>
        </w:rPr>
      </w:pPr>
    </w:p>
    <w:p w14:paraId="7161A590"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 requirements</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6DB9BD79" w14:textId="77777777" w:rsidR="00172535" w:rsidRPr="00172535" w:rsidRDefault="00172535" w:rsidP="00CC27A9">
      <w:pPr>
        <w:spacing w:after="0" w:line="240" w:lineRule="auto"/>
        <w:jc w:val="both"/>
        <w:rPr>
          <w:rFonts w:eastAsia="Times New Roman" w:cstheme="minorHAnsi"/>
          <w:bCs/>
          <w:lang w:val="en-PH"/>
        </w:rPr>
      </w:pPr>
    </w:p>
    <w:p w14:paraId="4A197721" w14:textId="77777777" w:rsidR="00067855" w:rsidRDefault="00067855" w:rsidP="00CC27A9">
      <w:pPr>
        <w:pStyle w:val="ListParagraph"/>
        <w:numPr>
          <w:ilvl w:val="0"/>
          <w:numId w:val="57"/>
        </w:numPr>
        <w:spacing w:after="0" w:line="240" w:lineRule="auto"/>
        <w:jc w:val="both"/>
        <w:rPr>
          <w:rFonts w:eastAsia="Times New Roman" w:cstheme="minorHAnsi"/>
          <w:bCs/>
          <w:lang w:val="en-PH"/>
        </w:rPr>
      </w:pPr>
      <w:r w:rsidRPr="00067855">
        <w:rPr>
          <w:rFonts w:eastAsia="Times New Roman" w:cstheme="minorHAnsi"/>
          <w:bCs/>
          <w:u w:val="single"/>
          <w:lang w:val="en-PH"/>
        </w:rPr>
        <w:t>Record-keeping requirements</w:t>
      </w:r>
      <w:r w:rsidRPr="00067855">
        <w:rPr>
          <w:rFonts w:eastAsia="Times New Roman" w:cstheme="minorHAnsi"/>
          <w:bCs/>
          <w:lang w:val="en-PH"/>
        </w:rPr>
        <w:t>: VASPs must maintain accurate and complete records of their business operations, including customer information, transactions, and financial records.</w:t>
      </w:r>
    </w:p>
    <w:p w14:paraId="5AC27C12" w14:textId="77777777" w:rsidR="00172535" w:rsidRPr="00172535" w:rsidRDefault="00172535" w:rsidP="00172535">
      <w:pPr>
        <w:spacing w:after="0" w:line="240" w:lineRule="auto"/>
        <w:jc w:val="both"/>
        <w:rPr>
          <w:rFonts w:eastAsia="Times New Roman" w:cstheme="minorHAnsi"/>
          <w:bCs/>
          <w:lang w:val="en-PH"/>
        </w:rPr>
      </w:pPr>
    </w:p>
    <w:p w14:paraId="4DFC0388"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are the main restrictions on VASPs in Gibraltar?</w:t>
      </w:r>
    </w:p>
    <w:p w14:paraId="69631FCA" w14:textId="77777777" w:rsidR="00172535" w:rsidRPr="00067855" w:rsidRDefault="00172535" w:rsidP="00067855">
      <w:pPr>
        <w:spacing w:after="0" w:line="240" w:lineRule="auto"/>
        <w:ind w:left="360"/>
        <w:jc w:val="both"/>
        <w:rPr>
          <w:rFonts w:eastAsia="Times New Roman" w:cstheme="minorHAnsi"/>
          <w:bCs/>
          <w:lang w:val="en-PH"/>
        </w:rPr>
      </w:pPr>
    </w:p>
    <w:p w14:paraId="58204A60"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main restrictions on VASPs in Gibraltar are as follows:</w:t>
      </w:r>
    </w:p>
    <w:p w14:paraId="6EE4ACCE" w14:textId="77777777" w:rsidR="00172535" w:rsidRPr="00067855" w:rsidRDefault="00172535" w:rsidP="00067855">
      <w:pPr>
        <w:spacing w:after="0" w:line="240" w:lineRule="auto"/>
        <w:ind w:left="360"/>
        <w:jc w:val="both"/>
        <w:rPr>
          <w:rFonts w:eastAsia="Times New Roman" w:cstheme="minorHAnsi"/>
          <w:bCs/>
          <w:lang w:val="en-PH"/>
        </w:rPr>
      </w:pPr>
    </w:p>
    <w:p w14:paraId="69D23A2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Prohibited activities</w:t>
      </w:r>
      <w:r w:rsidRPr="00067855">
        <w:rPr>
          <w:rFonts w:eastAsia="Times New Roman" w:cstheme="minorHAnsi"/>
          <w:bCs/>
          <w:lang w:val="en-PH"/>
        </w:rPr>
        <w:t>: VASPs are prohibited from engaging in certain activities, such as providing investment advice or managing investments on behalf of customers, unless they hold additional authorisations or licenses.</w:t>
      </w:r>
    </w:p>
    <w:p w14:paraId="35D8DDCB"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410D34D2"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lastRenderedPageBreak/>
        <w:t>AML/CFT compliance</w:t>
      </w:r>
      <w:r w:rsidRPr="00067855">
        <w:rPr>
          <w:rFonts w:eastAsia="Times New Roman" w:cstheme="minorHAnsi"/>
          <w:bCs/>
          <w:lang w:val="en-PH"/>
        </w:rPr>
        <w:t>: VASPs must comply with AML/CFT regulations, including conducting customer due diligence, monitoring transactions, and reporting suspicious activity to the relevant authorities.</w:t>
      </w:r>
    </w:p>
    <w:p w14:paraId="2BA780BE" w14:textId="77777777" w:rsidR="00172535" w:rsidRPr="00172535" w:rsidRDefault="00172535" w:rsidP="00CC27A9">
      <w:pPr>
        <w:spacing w:after="0" w:line="240" w:lineRule="auto"/>
        <w:jc w:val="both"/>
        <w:rPr>
          <w:rFonts w:eastAsia="Times New Roman" w:cstheme="minorHAnsi"/>
          <w:bCs/>
          <w:lang w:val="en-PH"/>
        </w:rPr>
      </w:pPr>
    </w:p>
    <w:p w14:paraId="32B0298B"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Customer due diligence</w:t>
      </w:r>
      <w:r w:rsidRPr="00067855">
        <w:rPr>
          <w:rFonts w:eastAsia="Times New Roman" w:cstheme="minorHAnsi"/>
          <w:bCs/>
          <w:lang w:val="en-PH"/>
        </w:rPr>
        <w:t>: VASPs must conduct appropriate customer due diligence measures to verify the identity of their customers and assess the risks associated with their business relationships.</w:t>
      </w:r>
    </w:p>
    <w:p w14:paraId="1BFC9983" w14:textId="77777777" w:rsidR="00172535" w:rsidRPr="00172535" w:rsidRDefault="00172535" w:rsidP="00CC27A9">
      <w:pPr>
        <w:spacing w:after="0" w:line="240" w:lineRule="auto"/>
        <w:jc w:val="both"/>
        <w:rPr>
          <w:rFonts w:eastAsia="Times New Roman" w:cstheme="minorHAnsi"/>
          <w:bCs/>
          <w:lang w:val="en-PH"/>
        </w:rPr>
      </w:pPr>
    </w:p>
    <w:p w14:paraId="2B367763"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Risk management</w:t>
      </w:r>
      <w:r w:rsidRPr="00067855">
        <w:rPr>
          <w:rFonts w:eastAsia="Times New Roman" w:cstheme="minorHAnsi"/>
          <w:bCs/>
          <w:lang w:val="en-PH"/>
        </w:rPr>
        <w:t>: VASPs must implement appropriate risk management systems and controls to identify, assess, and manage risks associated with their business operations.</w:t>
      </w:r>
    </w:p>
    <w:p w14:paraId="0925AABA" w14:textId="77777777" w:rsidR="00172535" w:rsidRPr="00172535" w:rsidRDefault="00172535" w:rsidP="00CC27A9">
      <w:pPr>
        <w:spacing w:after="0" w:line="240" w:lineRule="auto"/>
        <w:jc w:val="both"/>
        <w:rPr>
          <w:rFonts w:eastAsia="Times New Roman" w:cstheme="minorHAnsi"/>
          <w:bCs/>
          <w:lang w:val="en-PH"/>
        </w:rPr>
      </w:pPr>
    </w:p>
    <w:p w14:paraId="638EEC27"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IT security</w:t>
      </w:r>
      <w:r w:rsidRPr="00067855">
        <w:rPr>
          <w:rFonts w:eastAsia="Times New Roman" w:cstheme="minorHAnsi"/>
          <w:bCs/>
          <w:lang w:val="en-PH"/>
        </w:rPr>
        <w:t>: VASPs must implement appropriate IT security measures to protect customer data and assets, and to ensure the integrity and availability of their systems.</w:t>
      </w:r>
    </w:p>
    <w:p w14:paraId="72F5543A" w14:textId="77777777" w:rsidR="00172535" w:rsidRPr="00172535" w:rsidRDefault="00172535" w:rsidP="00CC27A9">
      <w:pPr>
        <w:spacing w:after="0" w:line="240" w:lineRule="auto"/>
        <w:ind w:left="720"/>
        <w:jc w:val="both"/>
        <w:rPr>
          <w:rFonts w:eastAsia="Times New Roman" w:cstheme="minorHAnsi"/>
          <w:bCs/>
          <w:lang w:val="en-PH"/>
        </w:rPr>
      </w:pPr>
    </w:p>
    <w:p w14:paraId="7D06702D"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Conflicts of interest</w:t>
      </w:r>
      <w:r w:rsidRPr="00067855">
        <w:rPr>
          <w:rFonts w:eastAsia="Times New Roman" w:cstheme="minorHAnsi"/>
          <w:bCs/>
          <w:lang w:val="en-PH"/>
        </w:rPr>
        <w:t>: VASPs must have policies and procedures in place to identify and manage conflicts of interest, and to ensure that they act in the best interests of their customers.</w:t>
      </w:r>
    </w:p>
    <w:p w14:paraId="4164F016" w14:textId="77777777" w:rsidR="00172535" w:rsidRPr="00172535" w:rsidRDefault="00172535" w:rsidP="00CC27A9">
      <w:pPr>
        <w:spacing w:after="0" w:line="240" w:lineRule="auto"/>
        <w:jc w:val="both"/>
        <w:rPr>
          <w:rFonts w:eastAsia="Times New Roman" w:cstheme="minorHAnsi"/>
          <w:bCs/>
          <w:lang w:val="en-PH"/>
        </w:rPr>
      </w:pPr>
    </w:p>
    <w:p w14:paraId="7B0A70A5"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Marketing and advertising</w:t>
      </w:r>
      <w:r w:rsidRPr="00067855">
        <w:rPr>
          <w:rFonts w:eastAsia="Times New Roman" w:cstheme="minorHAnsi"/>
          <w:bCs/>
          <w:lang w:val="en-PH"/>
        </w:rPr>
        <w:t>: VASPs must ensure that their marketing and advertising materials are clear, fair, and not misleading, and that they comply with all relevant regulations and guidance.</w:t>
      </w:r>
    </w:p>
    <w:p w14:paraId="27C7FDEB" w14:textId="77777777" w:rsidR="00172535" w:rsidRPr="00172535" w:rsidRDefault="00172535" w:rsidP="00CC27A9">
      <w:pPr>
        <w:spacing w:after="0" w:line="240" w:lineRule="auto"/>
        <w:jc w:val="both"/>
        <w:rPr>
          <w:rFonts w:eastAsia="Times New Roman" w:cstheme="minorHAnsi"/>
          <w:bCs/>
          <w:lang w:val="en-PH"/>
        </w:rPr>
      </w:pPr>
    </w:p>
    <w:p w14:paraId="5A906559"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Record-keeping</w:t>
      </w:r>
      <w:r w:rsidRPr="00067855">
        <w:rPr>
          <w:rFonts w:eastAsia="Times New Roman" w:cstheme="minorHAnsi"/>
          <w:bCs/>
          <w:lang w:val="en-PH"/>
        </w:rPr>
        <w:t>: VASPs must maintain accurate and complete records of their business operations, including customer information, transactions, and financial records.</w:t>
      </w:r>
    </w:p>
    <w:p w14:paraId="6E132856" w14:textId="77777777" w:rsidR="00172535" w:rsidRPr="00172535" w:rsidRDefault="00172535" w:rsidP="00CC27A9">
      <w:pPr>
        <w:spacing w:after="0" w:line="240" w:lineRule="auto"/>
        <w:jc w:val="both"/>
        <w:rPr>
          <w:rFonts w:eastAsia="Times New Roman" w:cstheme="minorHAnsi"/>
          <w:bCs/>
          <w:lang w:val="en-PH"/>
        </w:rPr>
      </w:pPr>
    </w:p>
    <w:p w14:paraId="708CE776" w14:textId="77777777" w:rsidR="00067855" w:rsidRDefault="00067855" w:rsidP="00CC27A9">
      <w:pPr>
        <w:pStyle w:val="ListParagraph"/>
        <w:numPr>
          <w:ilvl w:val="0"/>
          <w:numId w:val="58"/>
        </w:numPr>
        <w:spacing w:after="0" w:line="240" w:lineRule="auto"/>
        <w:jc w:val="both"/>
        <w:rPr>
          <w:rFonts w:eastAsia="Times New Roman" w:cstheme="minorHAnsi"/>
          <w:bCs/>
          <w:lang w:val="en-PH"/>
        </w:rPr>
      </w:pPr>
      <w:r w:rsidRPr="00067855">
        <w:rPr>
          <w:rFonts w:eastAsia="Times New Roman" w:cstheme="minorHAnsi"/>
          <w:bCs/>
          <w:u w:val="single"/>
          <w:lang w:val="en-PH"/>
        </w:rPr>
        <w:t>Reporting and disclosure</w:t>
      </w:r>
      <w:r w:rsidRPr="00067855">
        <w:rPr>
          <w:rFonts w:eastAsia="Times New Roman" w:cstheme="minorHAnsi"/>
          <w:bCs/>
          <w:lang w:val="en-PH"/>
        </w:rPr>
        <w:t>: VASPs must comply with ongoing reporting and disclosure requirements, including submitting annual financial statements, regulatory returns, and other reports as required by the GFSC.</w:t>
      </w:r>
    </w:p>
    <w:p w14:paraId="296491D4" w14:textId="77777777" w:rsidR="00172535" w:rsidRPr="00172535" w:rsidRDefault="00172535" w:rsidP="00172535">
      <w:pPr>
        <w:spacing w:after="0" w:line="240" w:lineRule="auto"/>
        <w:jc w:val="both"/>
        <w:rPr>
          <w:rFonts w:eastAsia="Times New Roman" w:cstheme="minorHAnsi"/>
          <w:bCs/>
          <w:lang w:val="en-PH"/>
        </w:rPr>
      </w:pPr>
    </w:p>
    <w:p w14:paraId="68989BC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 xml:space="preserve">What </w:t>
      </w:r>
      <w:proofErr w:type="gramStart"/>
      <w:r w:rsidRPr="00067855">
        <w:rPr>
          <w:rFonts w:eastAsia="Times New Roman" w:cstheme="minorHAnsi"/>
          <w:b/>
          <w:bCs/>
          <w:u w:val="single"/>
          <w:lang w:val="en-PH"/>
        </w:rPr>
        <w:t>are</w:t>
      </w:r>
      <w:proofErr w:type="gramEnd"/>
      <w:r w:rsidRPr="00067855">
        <w:rPr>
          <w:rFonts w:eastAsia="Times New Roman" w:cstheme="minorHAnsi"/>
          <w:b/>
          <w:bCs/>
          <w:u w:val="single"/>
          <w:lang w:val="en-PH"/>
        </w:rPr>
        <w:t xml:space="preserve"> the main information that VASPs have to make available to its customers?</w:t>
      </w:r>
    </w:p>
    <w:p w14:paraId="538EC8E6" w14:textId="77777777" w:rsidR="00172535" w:rsidRPr="00067855" w:rsidRDefault="00172535" w:rsidP="00067855">
      <w:pPr>
        <w:spacing w:after="0" w:line="240" w:lineRule="auto"/>
        <w:ind w:left="360"/>
        <w:jc w:val="both"/>
        <w:rPr>
          <w:rFonts w:eastAsia="Times New Roman" w:cstheme="minorHAnsi"/>
          <w:bCs/>
          <w:lang w:val="en-PH"/>
        </w:rPr>
      </w:pPr>
    </w:p>
    <w:p w14:paraId="419D9363"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 xml:space="preserve">The main information that VASPs </w:t>
      </w:r>
      <w:proofErr w:type="gramStart"/>
      <w:r w:rsidRPr="00067855">
        <w:rPr>
          <w:rFonts w:eastAsia="Times New Roman" w:cstheme="minorHAnsi"/>
          <w:bCs/>
          <w:lang w:val="en-PH"/>
        </w:rPr>
        <w:t>have to</w:t>
      </w:r>
      <w:proofErr w:type="gramEnd"/>
      <w:r w:rsidRPr="00067855">
        <w:rPr>
          <w:rFonts w:eastAsia="Times New Roman" w:cstheme="minorHAnsi"/>
          <w:bCs/>
          <w:lang w:val="en-PH"/>
        </w:rPr>
        <w:t xml:space="preserve"> make available to their customers in Gibraltar includes:</w:t>
      </w:r>
    </w:p>
    <w:p w14:paraId="3F7FA774" w14:textId="77777777" w:rsidR="00172535" w:rsidRPr="00067855" w:rsidRDefault="00172535" w:rsidP="00067855">
      <w:pPr>
        <w:spacing w:after="0" w:line="240" w:lineRule="auto"/>
        <w:ind w:left="360"/>
        <w:jc w:val="both"/>
        <w:rPr>
          <w:rFonts w:eastAsia="Times New Roman" w:cstheme="minorHAnsi"/>
          <w:bCs/>
          <w:lang w:val="en-PH"/>
        </w:rPr>
      </w:pPr>
    </w:p>
    <w:p w14:paraId="552C123B"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Terms and conditions</w:t>
      </w:r>
      <w:r w:rsidRPr="00067855">
        <w:rPr>
          <w:rFonts w:eastAsia="Times New Roman" w:cstheme="minorHAnsi"/>
          <w:bCs/>
          <w:lang w:val="en-PH"/>
        </w:rPr>
        <w:t>: VASPs must provide their customers with clear and concise terms and conditions that outline the rights and obligations of both parties.</w:t>
      </w:r>
    </w:p>
    <w:p w14:paraId="2657E721" w14:textId="77777777" w:rsidR="00172535" w:rsidRPr="00067855" w:rsidRDefault="00172535" w:rsidP="00CC27A9">
      <w:pPr>
        <w:pStyle w:val="ListParagraph"/>
        <w:spacing w:after="0" w:line="240" w:lineRule="auto"/>
        <w:ind w:left="1080"/>
        <w:jc w:val="both"/>
        <w:rPr>
          <w:rFonts w:eastAsia="Times New Roman" w:cstheme="minorHAnsi"/>
          <w:bCs/>
          <w:lang w:val="en-PH"/>
        </w:rPr>
      </w:pPr>
    </w:p>
    <w:p w14:paraId="16C45666"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Fees and charges</w:t>
      </w:r>
      <w:r w:rsidRPr="00067855">
        <w:rPr>
          <w:rFonts w:eastAsia="Times New Roman" w:cstheme="minorHAnsi"/>
          <w:bCs/>
          <w:lang w:val="en-PH"/>
        </w:rPr>
        <w:t>: VASPs must disclose all fees and charges associated with their services, including transaction fees, deposit and withdrawal fees, and any other charges.</w:t>
      </w:r>
    </w:p>
    <w:p w14:paraId="6DFE7891" w14:textId="77777777" w:rsidR="00172535" w:rsidRPr="00172535" w:rsidRDefault="00172535" w:rsidP="00CC27A9">
      <w:pPr>
        <w:spacing w:after="0" w:line="240" w:lineRule="auto"/>
        <w:jc w:val="both"/>
        <w:rPr>
          <w:rFonts w:eastAsia="Times New Roman" w:cstheme="minorHAnsi"/>
          <w:bCs/>
          <w:lang w:val="en-PH"/>
        </w:rPr>
      </w:pPr>
    </w:p>
    <w:p w14:paraId="05334F4A"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Risks</w:t>
      </w:r>
      <w:r w:rsidRPr="00067855">
        <w:rPr>
          <w:rFonts w:eastAsia="Times New Roman" w:cstheme="minorHAnsi"/>
          <w:bCs/>
          <w:lang w:val="en-PH"/>
        </w:rPr>
        <w:t>: VASPs must provide their customers with clear and prominent warnings about the risks associated with virtual assets and the services provided by the VASP.</w:t>
      </w:r>
    </w:p>
    <w:p w14:paraId="6452F94A" w14:textId="77777777" w:rsidR="00172535" w:rsidRPr="00172535" w:rsidRDefault="00172535" w:rsidP="00CC27A9">
      <w:pPr>
        <w:spacing w:after="0" w:line="240" w:lineRule="auto"/>
        <w:jc w:val="both"/>
        <w:rPr>
          <w:rFonts w:eastAsia="Times New Roman" w:cstheme="minorHAnsi"/>
          <w:bCs/>
          <w:lang w:val="en-PH"/>
        </w:rPr>
      </w:pPr>
    </w:p>
    <w:p w14:paraId="1C758142"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Privacy policy</w:t>
      </w:r>
      <w:r w:rsidRPr="00067855">
        <w:rPr>
          <w:rFonts w:eastAsia="Times New Roman" w:cstheme="minorHAnsi"/>
          <w:bCs/>
          <w:lang w:val="en-PH"/>
        </w:rPr>
        <w:t>: VASPs must provide their customers with a privacy policy that outlines how their personal data will be collected, used, and protected.</w:t>
      </w:r>
    </w:p>
    <w:p w14:paraId="66EC504F" w14:textId="77777777" w:rsidR="00172535" w:rsidRPr="00172535" w:rsidRDefault="00172535" w:rsidP="00CC27A9">
      <w:pPr>
        <w:spacing w:after="0" w:line="240" w:lineRule="auto"/>
        <w:jc w:val="both"/>
        <w:rPr>
          <w:rFonts w:eastAsia="Times New Roman" w:cstheme="minorHAnsi"/>
          <w:bCs/>
          <w:lang w:val="en-PH"/>
        </w:rPr>
      </w:pPr>
    </w:p>
    <w:p w14:paraId="62EC7D5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Complaints procedure</w:t>
      </w:r>
      <w:r w:rsidRPr="00067855">
        <w:rPr>
          <w:rFonts w:eastAsia="Times New Roman" w:cstheme="minorHAnsi"/>
          <w:bCs/>
          <w:lang w:val="en-PH"/>
        </w:rPr>
        <w:t>: VASPs must provide their customers with a clear and accessible complaints procedure, including information on how to make a complaint and the timeframes for resolving complaints.</w:t>
      </w:r>
    </w:p>
    <w:p w14:paraId="070079EF" w14:textId="77777777" w:rsidR="00172535" w:rsidRPr="00172535" w:rsidRDefault="00172535" w:rsidP="00CC27A9">
      <w:pPr>
        <w:spacing w:after="0" w:line="240" w:lineRule="auto"/>
        <w:jc w:val="both"/>
        <w:rPr>
          <w:rFonts w:eastAsia="Times New Roman" w:cstheme="minorHAnsi"/>
          <w:bCs/>
          <w:lang w:val="en-PH"/>
        </w:rPr>
      </w:pPr>
    </w:p>
    <w:p w14:paraId="2592686D"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lastRenderedPageBreak/>
        <w:t>AML/CFT policies and procedures</w:t>
      </w:r>
      <w:r w:rsidRPr="00067855">
        <w:rPr>
          <w:rFonts w:eastAsia="Times New Roman" w:cstheme="minorHAnsi"/>
          <w:bCs/>
          <w:lang w:val="en-PH"/>
        </w:rPr>
        <w:t>: VASPs must provide their customers with information about their AML/CFT policies and procedures, including how customer due diligence is conducted and what information is required.</w:t>
      </w:r>
    </w:p>
    <w:p w14:paraId="4D46686E" w14:textId="77777777" w:rsidR="00172535" w:rsidRPr="00172535" w:rsidRDefault="00172535" w:rsidP="00CC27A9">
      <w:pPr>
        <w:spacing w:after="0" w:line="240" w:lineRule="auto"/>
        <w:jc w:val="both"/>
        <w:rPr>
          <w:rFonts w:eastAsia="Times New Roman" w:cstheme="minorHAnsi"/>
          <w:bCs/>
          <w:lang w:val="en-PH"/>
        </w:rPr>
      </w:pPr>
    </w:p>
    <w:p w14:paraId="7CBCD8F0"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Service availability</w:t>
      </w:r>
      <w:r w:rsidRPr="00067855">
        <w:rPr>
          <w:rFonts w:eastAsia="Times New Roman" w:cstheme="minorHAnsi"/>
          <w:bCs/>
          <w:lang w:val="en-PH"/>
        </w:rPr>
        <w:t>: VASPs must provide their customers with information about the availability of their services, including any planned or unplanned downtime.</w:t>
      </w:r>
    </w:p>
    <w:p w14:paraId="74D1B3B8" w14:textId="77777777" w:rsidR="00172535" w:rsidRPr="00172535" w:rsidRDefault="00172535" w:rsidP="00CC27A9">
      <w:pPr>
        <w:spacing w:after="0" w:line="240" w:lineRule="auto"/>
        <w:jc w:val="both"/>
        <w:rPr>
          <w:rFonts w:eastAsia="Times New Roman" w:cstheme="minorHAnsi"/>
          <w:bCs/>
          <w:lang w:val="en-PH"/>
        </w:rPr>
      </w:pPr>
    </w:p>
    <w:p w14:paraId="73DB69FE" w14:textId="77777777" w:rsidR="00067855" w:rsidRDefault="00067855" w:rsidP="00CC27A9">
      <w:pPr>
        <w:pStyle w:val="ListParagraph"/>
        <w:numPr>
          <w:ilvl w:val="0"/>
          <w:numId w:val="59"/>
        </w:numPr>
        <w:spacing w:after="0" w:line="240" w:lineRule="auto"/>
        <w:jc w:val="both"/>
        <w:rPr>
          <w:rFonts w:eastAsia="Times New Roman" w:cstheme="minorHAnsi"/>
          <w:bCs/>
          <w:lang w:val="en-PH"/>
        </w:rPr>
      </w:pPr>
      <w:r w:rsidRPr="00067855">
        <w:rPr>
          <w:rFonts w:eastAsia="Times New Roman" w:cstheme="minorHAnsi"/>
          <w:bCs/>
          <w:u w:val="single"/>
          <w:lang w:val="en-PH"/>
        </w:rPr>
        <w:t>Insurance</w:t>
      </w:r>
      <w:r w:rsidRPr="00067855">
        <w:rPr>
          <w:rFonts w:eastAsia="Times New Roman" w:cstheme="minorHAnsi"/>
          <w:bCs/>
          <w:lang w:val="en-PH"/>
        </w:rPr>
        <w:t>: VASPs must provide their customers with information about any insurance coverage that is in place to protect customer assets.</w:t>
      </w:r>
    </w:p>
    <w:p w14:paraId="3C8DFEEC" w14:textId="77777777" w:rsidR="00172535" w:rsidRPr="00172535" w:rsidRDefault="00172535" w:rsidP="00172535">
      <w:pPr>
        <w:spacing w:after="0" w:line="240" w:lineRule="auto"/>
        <w:jc w:val="both"/>
        <w:rPr>
          <w:rFonts w:eastAsia="Times New Roman" w:cstheme="minorHAnsi"/>
          <w:bCs/>
          <w:lang w:val="en-PH"/>
        </w:rPr>
      </w:pPr>
    </w:p>
    <w:p w14:paraId="437E2A63"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What market misconduct legislation/regulations apply to virtual assets?</w:t>
      </w:r>
    </w:p>
    <w:p w14:paraId="249C978D" w14:textId="77777777" w:rsidR="00172535" w:rsidRPr="00067855" w:rsidRDefault="00172535" w:rsidP="00067855">
      <w:pPr>
        <w:spacing w:after="0" w:line="240" w:lineRule="auto"/>
        <w:ind w:left="360"/>
        <w:jc w:val="both"/>
        <w:rPr>
          <w:rFonts w:eastAsia="Times New Roman" w:cstheme="minorHAnsi"/>
          <w:bCs/>
          <w:lang w:val="en-PH"/>
        </w:rPr>
      </w:pPr>
    </w:p>
    <w:p w14:paraId="5A2CEE3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Gibraltar, there is no specific market misconduct legislation or regulation that applies solely to virtual assets. However, the FSA provides a regulatory framework for financial services in Gibraltar, including the regulation of virtual assets.</w:t>
      </w:r>
    </w:p>
    <w:p w14:paraId="7F4BB837" w14:textId="77777777" w:rsidR="00172535" w:rsidRPr="00067855" w:rsidRDefault="00172535" w:rsidP="00067855">
      <w:pPr>
        <w:spacing w:after="0" w:line="240" w:lineRule="auto"/>
        <w:ind w:left="360"/>
        <w:jc w:val="both"/>
        <w:rPr>
          <w:rFonts w:eastAsia="Times New Roman" w:cstheme="minorHAnsi"/>
          <w:bCs/>
          <w:lang w:val="en-PH"/>
        </w:rPr>
      </w:pPr>
    </w:p>
    <w:p w14:paraId="08BB43B8"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GFSC has issued guidance notes for VASPs operating in Gibraltar, which provide detailed information on the GFSC's expectations for VASPs in areas such as AML/CFT compliance, risk management, IT security, and customer due diligence.</w:t>
      </w:r>
    </w:p>
    <w:p w14:paraId="36F2415C" w14:textId="77777777" w:rsidR="00172535" w:rsidRPr="00067855" w:rsidRDefault="00172535" w:rsidP="00067855">
      <w:pPr>
        <w:spacing w:after="0" w:line="240" w:lineRule="auto"/>
        <w:ind w:left="360"/>
        <w:jc w:val="both"/>
        <w:rPr>
          <w:rFonts w:eastAsia="Times New Roman" w:cstheme="minorHAnsi"/>
          <w:bCs/>
          <w:lang w:val="en-PH"/>
        </w:rPr>
      </w:pPr>
    </w:p>
    <w:p w14:paraId="1321A2DE"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The GFSC's guidance notes for VASPs also include expectations for preventing and detecting market misconduct, such as insider dealing and market manipulation. The guidance notes emphasise the importance of VASPs implementing appropriate systems and controls to prevent, detect, and report market misconduct, and to ensure that they are conducting their business with honesty, integrity, and fairness.</w:t>
      </w:r>
    </w:p>
    <w:p w14:paraId="66336FFB" w14:textId="77777777" w:rsidR="00172535" w:rsidRPr="00067855" w:rsidRDefault="00172535" w:rsidP="00067855">
      <w:pPr>
        <w:spacing w:after="0" w:line="240" w:lineRule="auto"/>
        <w:ind w:left="360"/>
        <w:jc w:val="both"/>
        <w:rPr>
          <w:rFonts w:eastAsia="Times New Roman" w:cstheme="minorHAnsi"/>
          <w:bCs/>
          <w:lang w:val="en-PH"/>
        </w:rPr>
      </w:pPr>
    </w:p>
    <w:p w14:paraId="0C71DAE5" w14:textId="77777777" w:rsidR="00067855" w:rsidRDefault="00067855" w:rsidP="00067855">
      <w:pPr>
        <w:spacing w:after="0" w:line="240" w:lineRule="auto"/>
        <w:ind w:left="360"/>
        <w:jc w:val="both"/>
        <w:rPr>
          <w:rFonts w:eastAsia="Times New Roman" w:cstheme="minorHAnsi"/>
          <w:bCs/>
          <w:lang w:val="en-PH"/>
        </w:rPr>
      </w:pPr>
      <w:r w:rsidRPr="00067855">
        <w:rPr>
          <w:rFonts w:eastAsia="Times New Roman" w:cstheme="minorHAnsi"/>
          <w:bCs/>
          <w:lang w:val="en-PH"/>
        </w:rPr>
        <w:t>In addition to the guidance notes, the GFSC has also issued nine core principles for VASPs operating in Gibraltar. These core principles provide a framework for VASPs to operate in a safe and sound manner, and to protect the interests of their customers. The core principles include requirements for VASPs to:</w:t>
      </w:r>
    </w:p>
    <w:p w14:paraId="081EF7C5" w14:textId="77777777" w:rsidR="00172535" w:rsidRPr="00067855" w:rsidRDefault="00172535" w:rsidP="00067855">
      <w:pPr>
        <w:spacing w:after="0" w:line="240" w:lineRule="auto"/>
        <w:ind w:left="360"/>
        <w:jc w:val="both"/>
        <w:rPr>
          <w:rFonts w:eastAsia="Times New Roman" w:cstheme="minorHAnsi"/>
          <w:bCs/>
          <w:lang w:val="en-PH"/>
        </w:rPr>
      </w:pPr>
    </w:p>
    <w:p w14:paraId="06E7382B"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conduct their business with honesty, integrity, and </w:t>
      </w:r>
      <w:proofErr w:type="gramStart"/>
      <w:r w:rsidRPr="00067855">
        <w:rPr>
          <w:rFonts w:eastAsia="Times New Roman" w:cstheme="minorHAnsi"/>
          <w:bCs/>
          <w:lang w:val="en-PH"/>
        </w:rPr>
        <w:t>fairness;</w:t>
      </w:r>
      <w:proofErr w:type="gramEnd"/>
    </w:p>
    <w:p w14:paraId="6F628D34"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pay due regard to the interests and needs of their </w:t>
      </w:r>
      <w:proofErr w:type="gramStart"/>
      <w:r w:rsidRPr="00067855">
        <w:rPr>
          <w:rFonts w:eastAsia="Times New Roman" w:cstheme="minorHAnsi"/>
          <w:bCs/>
          <w:lang w:val="en-PH"/>
        </w:rPr>
        <w:t>customers;</w:t>
      </w:r>
      <w:proofErr w:type="gramEnd"/>
    </w:p>
    <w:p w14:paraId="32CFFDF3"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adequate financial and non-financial </w:t>
      </w:r>
      <w:proofErr w:type="gramStart"/>
      <w:r w:rsidRPr="00067855">
        <w:rPr>
          <w:rFonts w:eastAsia="Times New Roman" w:cstheme="minorHAnsi"/>
          <w:bCs/>
          <w:lang w:val="en-PH"/>
        </w:rPr>
        <w:t>resources;</w:t>
      </w:r>
      <w:proofErr w:type="gramEnd"/>
    </w:p>
    <w:p w14:paraId="704E2911"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manage and control their business </w:t>
      </w:r>
      <w:proofErr w:type="gramStart"/>
      <w:r w:rsidRPr="00067855">
        <w:rPr>
          <w:rFonts w:eastAsia="Times New Roman" w:cstheme="minorHAnsi"/>
          <w:bCs/>
          <w:lang w:val="en-PH"/>
        </w:rPr>
        <w:t>effectively;</w:t>
      </w:r>
      <w:proofErr w:type="gramEnd"/>
    </w:p>
    <w:p w14:paraId="018A708F"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establish and maintain effective risk management </w:t>
      </w:r>
      <w:proofErr w:type="gramStart"/>
      <w:r w:rsidRPr="00067855">
        <w:rPr>
          <w:rFonts w:eastAsia="Times New Roman" w:cstheme="minorHAnsi"/>
          <w:bCs/>
          <w:lang w:val="en-PH"/>
        </w:rPr>
        <w:t>systems;</w:t>
      </w:r>
      <w:proofErr w:type="gramEnd"/>
    </w:p>
    <w:p w14:paraId="370CC955"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maintain effective systems and controls to counter the risk of financial </w:t>
      </w:r>
      <w:proofErr w:type="gramStart"/>
      <w:r w:rsidRPr="00067855">
        <w:rPr>
          <w:rFonts w:eastAsia="Times New Roman" w:cstheme="minorHAnsi"/>
          <w:bCs/>
          <w:lang w:val="en-PH"/>
        </w:rPr>
        <w:t>crime;</w:t>
      </w:r>
      <w:proofErr w:type="gramEnd"/>
    </w:p>
    <w:p w14:paraId="0094A23E"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 xml:space="preserve">be open and cooperative with the </w:t>
      </w:r>
      <w:proofErr w:type="gramStart"/>
      <w:r w:rsidRPr="00067855">
        <w:rPr>
          <w:rFonts w:eastAsia="Times New Roman" w:cstheme="minorHAnsi"/>
          <w:bCs/>
          <w:lang w:val="en-PH"/>
        </w:rPr>
        <w:t>GFSC;</w:t>
      </w:r>
      <w:proofErr w:type="gramEnd"/>
    </w:p>
    <w:p w14:paraId="6120D3BA" w14:textId="77777777" w:rsidR="00067855" w:rsidRP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pay due regard to the information needs of their customers; and</w:t>
      </w:r>
    </w:p>
    <w:p w14:paraId="4367710B" w14:textId="77777777" w:rsidR="00067855" w:rsidRDefault="00067855" w:rsidP="00067855">
      <w:pPr>
        <w:pStyle w:val="ListParagraph"/>
        <w:numPr>
          <w:ilvl w:val="0"/>
          <w:numId w:val="60"/>
        </w:numPr>
        <w:spacing w:after="0" w:line="240" w:lineRule="auto"/>
        <w:jc w:val="both"/>
        <w:rPr>
          <w:rFonts w:eastAsia="Times New Roman" w:cstheme="minorHAnsi"/>
          <w:bCs/>
          <w:lang w:val="en-PH"/>
        </w:rPr>
      </w:pPr>
      <w:r w:rsidRPr="00067855">
        <w:rPr>
          <w:rFonts w:eastAsia="Times New Roman" w:cstheme="minorHAnsi"/>
          <w:bCs/>
          <w:lang w:val="en-PH"/>
        </w:rPr>
        <w:t>conduct their business in a way that does not harm the reputation of Gibraltar.</w:t>
      </w:r>
    </w:p>
    <w:p w14:paraId="4412F555" w14:textId="77777777" w:rsidR="00172535" w:rsidRPr="00067855" w:rsidRDefault="00172535" w:rsidP="00172535">
      <w:pPr>
        <w:pStyle w:val="ListParagraph"/>
        <w:spacing w:after="0" w:line="240" w:lineRule="auto"/>
        <w:ind w:left="1080"/>
        <w:jc w:val="both"/>
        <w:rPr>
          <w:rFonts w:eastAsia="Times New Roman" w:cstheme="minorHAnsi"/>
          <w:bCs/>
          <w:lang w:val="en-PH"/>
        </w:rPr>
      </w:pPr>
    </w:p>
    <w:p w14:paraId="72689C91" w14:textId="77777777" w:rsidR="00067855" w:rsidRPr="0017253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bCs/>
          <w:lang w:val="en-PH"/>
        </w:rPr>
        <w:t>Regulation of other crypto-related activities in Gibraltar</w:t>
      </w:r>
    </w:p>
    <w:p w14:paraId="7AE5F1BF" w14:textId="77777777" w:rsidR="00172535" w:rsidRPr="00067855" w:rsidRDefault="00172535" w:rsidP="00172535">
      <w:pPr>
        <w:spacing w:after="0" w:line="240" w:lineRule="auto"/>
        <w:ind w:left="360"/>
        <w:jc w:val="both"/>
        <w:rPr>
          <w:rFonts w:eastAsia="Times New Roman" w:cstheme="minorHAnsi"/>
          <w:b/>
          <w:lang w:val="en-PH"/>
        </w:rPr>
      </w:pPr>
    </w:p>
    <w:p w14:paraId="324B6442"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managers of crypto funds regulated in Gibraltar?</w:t>
      </w:r>
    </w:p>
    <w:p w14:paraId="3819C59B"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151FBF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 xml:space="preserve">The Financial Services (Distributed Ledger Technology Providers) Regulations 2020 apply to regulation of crypto fund managers (DLT Providers) in Gibraltar. These regulations state that managers of crypto funds must be authorised before they can carry on this business. To obtain authorisation, managers </w:t>
      </w:r>
      <w:r w:rsidRPr="00067855">
        <w:rPr>
          <w:rFonts w:eastAsia="Times New Roman" w:cstheme="minorHAnsi"/>
          <w:lang w:val="en-PH"/>
        </w:rPr>
        <w:lastRenderedPageBreak/>
        <w:t>of crypto funds must submit an initial application assessment request to the GFSC, providing relevant documents and other information.</w:t>
      </w:r>
    </w:p>
    <w:p w14:paraId="5D62B08A" w14:textId="77777777" w:rsidR="00172535" w:rsidRPr="00067855" w:rsidRDefault="00172535" w:rsidP="00067855">
      <w:pPr>
        <w:spacing w:after="0" w:line="240" w:lineRule="auto"/>
        <w:ind w:left="360"/>
        <w:jc w:val="both"/>
        <w:rPr>
          <w:rFonts w:eastAsia="Times New Roman" w:cstheme="minorHAnsi"/>
          <w:lang w:val="en-PH"/>
        </w:rPr>
      </w:pPr>
    </w:p>
    <w:p w14:paraId="113AF6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Once authorised, managers of crypto funds must comply with ongoing obligations specified in the regulatory principles set out in the Schedule to the regulations. The regulatory principles require managers of crypto funds to conduct their business with honesty, integrity, due skill, care, and diligence, among other requirements. So overall, managers of crypto funds in Gibraltar are subject to substantial regulation and oversight under the Financial Services (Distributed Ledger Technology Providers) Regulations 2020.</w:t>
      </w:r>
    </w:p>
    <w:p w14:paraId="708E2957" w14:textId="77777777" w:rsidR="00172535" w:rsidRPr="00067855" w:rsidRDefault="00172535" w:rsidP="00067855">
      <w:pPr>
        <w:spacing w:after="0" w:line="240" w:lineRule="auto"/>
        <w:ind w:left="360"/>
        <w:jc w:val="both"/>
        <w:rPr>
          <w:rFonts w:eastAsia="Times New Roman" w:cstheme="minorHAnsi"/>
          <w:lang w:val="en-PH"/>
        </w:rPr>
      </w:pPr>
    </w:p>
    <w:p w14:paraId="1E0A0EE6"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distributors of virtual asset funds regulated in Gibraltar?</w:t>
      </w:r>
    </w:p>
    <w:p w14:paraId="39480AA3" w14:textId="77777777" w:rsidR="00172535" w:rsidRPr="00067855" w:rsidRDefault="00172535" w:rsidP="00067855">
      <w:pPr>
        <w:spacing w:after="0" w:line="240" w:lineRule="auto"/>
        <w:ind w:left="360"/>
        <w:jc w:val="both"/>
        <w:rPr>
          <w:rFonts w:eastAsia="Times New Roman" w:cstheme="minorHAnsi"/>
          <w:b/>
          <w:bCs/>
          <w:u w:val="single"/>
          <w:lang w:val="en-PH"/>
        </w:rPr>
      </w:pPr>
    </w:p>
    <w:p w14:paraId="02EA617A"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Financial Services (Distributed Ledger Technology Providers) Regulations 2020 are regulations that monitor the actions of virtual asset fund managers and distributors in Gibraltar. To run such a business in Gibraltar, the FSA requires authorisation from the GFSC. These regulations set out various obligations that such businesses must maintain to be eligible for authorisation from the GFSC. These include carrying adequate resources (both financial and non-financial), having effective prevention and detection systems against financial crimes, and informing the GFSC immediately of anything that could compromise their compliance with the regulations.</w:t>
      </w:r>
    </w:p>
    <w:p w14:paraId="1ECDB2FE" w14:textId="77777777" w:rsidR="00172535" w:rsidRPr="00067855" w:rsidRDefault="00172535" w:rsidP="00067855">
      <w:pPr>
        <w:spacing w:after="0" w:line="240" w:lineRule="auto"/>
        <w:ind w:left="360"/>
        <w:jc w:val="both"/>
        <w:rPr>
          <w:rFonts w:eastAsia="Times New Roman" w:cstheme="minorHAnsi"/>
          <w:lang w:val="en-PH"/>
        </w:rPr>
      </w:pPr>
    </w:p>
    <w:p w14:paraId="74AA4994"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 GFSC has also issued guidance notes on various aspects of virtual assets, including the regulation of ICOs, tokens, and other related activities. These guidance notes provide clarification on the GFSC's expectations and the regulatory treatment of different types of virtual assets and activities. Moreover, it is essential for distributors of virtual asset funds to also adhere to Gibraltar's AML/CFT regulations, as well as any other relevant laws and guidelines.</w:t>
      </w:r>
    </w:p>
    <w:p w14:paraId="6356E3CD" w14:textId="77777777" w:rsidR="00172535" w:rsidRPr="00067855" w:rsidRDefault="00172535" w:rsidP="00067855">
      <w:pPr>
        <w:spacing w:after="0" w:line="240" w:lineRule="auto"/>
        <w:ind w:left="360"/>
        <w:jc w:val="both"/>
        <w:rPr>
          <w:rFonts w:eastAsia="Times New Roman" w:cstheme="minorHAnsi"/>
          <w:lang w:val="en-PH"/>
        </w:rPr>
      </w:pPr>
    </w:p>
    <w:p w14:paraId="43D59ED1"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requirements for intermediaries seeking to provide trading in virtual assets for clients or advise clients on virtual assets in Gibraltar?</w:t>
      </w:r>
    </w:p>
    <w:p w14:paraId="78BD764D" w14:textId="77777777" w:rsidR="00172535" w:rsidRPr="00067855" w:rsidRDefault="00172535" w:rsidP="00067855">
      <w:pPr>
        <w:spacing w:after="0" w:line="240" w:lineRule="auto"/>
        <w:ind w:left="360"/>
        <w:jc w:val="both"/>
        <w:rPr>
          <w:rFonts w:eastAsia="Times New Roman" w:cstheme="minorHAnsi"/>
          <w:b/>
          <w:bCs/>
          <w:u w:val="single"/>
          <w:lang w:val="en-PH"/>
        </w:rPr>
      </w:pPr>
    </w:p>
    <w:p w14:paraId="753A7FA1"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Yes, there are requirements for intermediaries seeking to provide trading in virtual assets for clients or advise clients on virtual assets in Gibraltar. The GFSC regulates intermediaries that offer services related to virtual assets under the Financial Services (Distributed Ledger Technology Providers) Regulations 2020.</w:t>
      </w:r>
    </w:p>
    <w:p w14:paraId="4E22BA7A" w14:textId="77777777" w:rsidR="00172535" w:rsidRPr="00067855" w:rsidRDefault="00172535" w:rsidP="00067855">
      <w:pPr>
        <w:spacing w:after="0" w:line="240" w:lineRule="auto"/>
        <w:ind w:left="360"/>
        <w:jc w:val="both"/>
        <w:rPr>
          <w:rFonts w:eastAsia="Times New Roman" w:cstheme="minorHAnsi"/>
          <w:lang w:val="en-PH"/>
        </w:rPr>
      </w:pPr>
    </w:p>
    <w:p w14:paraId="603F3D2C"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such as brokers, dealers, and investment advisors, must obtain a license from the GFSC to provide services related to virtual assets. To be granted a license, intermediaries must demonstrate compliance with the GFSC's regulatory principles, which include maintaining adequate financial and non-financial resources, implementing effective risk management and governance arrangements, and adhering to strict AML/CFT measures.</w:t>
      </w:r>
    </w:p>
    <w:p w14:paraId="572F78A0" w14:textId="77777777" w:rsidR="00172535" w:rsidRPr="00067855" w:rsidRDefault="00172535" w:rsidP="00067855">
      <w:pPr>
        <w:spacing w:after="0" w:line="240" w:lineRule="auto"/>
        <w:ind w:left="360"/>
        <w:jc w:val="both"/>
        <w:rPr>
          <w:rFonts w:eastAsia="Times New Roman" w:cstheme="minorHAnsi"/>
          <w:lang w:val="en-PH"/>
        </w:rPr>
      </w:pPr>
    </w:p>
    <w:p w14:paraId="751A9A39"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 addition to obtaining a license, intermediaries must also comply with the GFSC's guidance notes on the regulation of ICOs, tokens, and other related activities. These guidance notes provide clarity on the GFSC's expectations for intermediaries operating in the virtual assets sector.</w:t>
      </w:r>
    </w:p>
    <w:p w14:paraId="78EC7B70" w14:textId="77777777" w:rsidR="00172535" w:rsidRPr="00067855" w:rsidRDefault="00172535" w:rsidP="00067855">
      <w:pPr>
        <w:spacing w:after="0" w:line="240" w:lineRule="auto"/>
        <w:ind w:left="360"/>
        <w:jc w:val="both"/>
        <w:rPr>
          <w:rFonts w:eastAsia="Times New Roman" w:cstheme="minorHAnsi"/>
          <w:lang w:val="en-PH"/>
        </w:rPr>
      </w:pPr>
    </w:p>
    <w:p w14:paraId="189B635D"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Intermediaries are required to maintain risk management and governance frameworks, implement appropriate internal controls, and ensure the protection of client assets. They must also provide clear and accurate disclosure to clients about the risks associated with virtual assets and ensure that their services are suitable for the clients' investment objectives and risk tolerance.</w:t>
      </w:r>
    </w:p>
    <w:p w14:paraId="2FA4C6B6" w14:textId="77777777" w:rsidR="00172535" w:rsidRPr="00067855" w:rsidRDefault="00172535" w:rsidP="00067855">
      <w:pPr>
        <w:spacing w:after="0" w:line="240" w:lineRule="auto"/>
        <w:ind w:left="360"/>
        <w:jc w:val="both"/>
        <w:rPr>
          <w:rFonts w:eastAsia="Times New Roman" w:cstheme="minorHAnsi"/>
          <w:lang w:val="en-PH"/>
        </w:rPr>
      </w:pPr>
    </w:p>
    <w:p w14:paraId="1C3F9492"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Ongoing supervision and monitoring by the GFSC are essential aspects of the regulatory framework for intermediaries in Gibraltar. Intermediaries must be prepared for on-site inspections, investigations, and periodic reporting requirements to ensure that they remain compliant with the relevant laws, regulations, and guidance notes.</w:t>
      </w:r>
    </w:p>
    <w:p w14:paraId="31C79166" w14:textId="77777777" w:rsidR="00172535" w:rsidRPr="00067855" w:rsidRDefault="00172535" w:rsidP="00067855">
      <w:pPr>
        <w:spacing w:after="0" w:line="240" w:lineRule="auto"/>
        <w:ind w:left="360"/>
        <w:jc w:val="both"/>
        <w:rPr>
          <w:rFonts w:eastAsia="Times New Roman" w:cstheme="minorHAnsi"/>
          <w:lang w:val="en-PH"/>
        </w:rPr>
      </w:pPr>
    </w:p>
    <w:p w14:paraId="4E3357D7" w14:textId="77777777" w:rsidR="00067855" w:rsidRPr="00172535" w:rsidRDefault="00067855" w:rsidP="00067855">
      <w:pPr>
        <w:numPr>
          <w:ilvl w:val="0"/>
          <w:numId w:val="19"/>
        </w:numPr>
        <w:spacing w:after="0" w:line="240" w:lineRule="auto"/>
        <w:jc w:val="both"/>
        <w:rPr>
          <w:rFonts w:eastAsia="Times New Roman" w:cstheme="minorHAnsi"/>
          <w:b/>
          <w:lang w:val="en-PH"/>
        </w:rPr>
      </w:pPr>
      <w:r w:rsidRPr="00067855">
        <w:rPr>
          <w:rFonts w:eastAsia="Times New Roman" w:cstheme="minorHAnsi"/>
          <w:b/>
          <w:lang w:val="en-SG"/>
        </w:rPr>
        <w:t>O</w:t>
      </w:r>
      <w:r w:rsidRPr="00067855">
        <w:rPr>
          <w:rFonts w:eastAsia="Times New Roman" w:cstheme="minorHAnsi"/>
          <w:b/>
          <w:bCs/>
          <w:lang w:val="en-PH"/>
        </w:rPr>
        <w:t>ther relevant regulatory information</w:t>
      </w:r>
    </w:p>
    <w:p w14:paraId="3A0C4E91" w14:textId="77777777" w:rsidR="00172535" w:rsidRPr="00067855" w:rsidRDefault="00172535" w:rsidP="00172535">
      <w:pPr>
        <w:spacing w:after="0" w:line="240" w:lineRule="auto"/>
        <w:ind w:left="360"/>
        <w:jc w:val="both"/>
        <w:rPr>
          <w:rFonts w:eastAsia="Times New Roman" w:cstheme="minorHAnsi"/>
          <w:b/>
          <w:lang w:val="en-PH"/>
        </w:rPr>
      </w:pPr>
    </w:p>
    <w:p w14:paraId="22BDB2CA"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Are there any upcoming regulatory developments in respect of crypto-related activity in Gibraltar?</w:t>
      </w:r>
    </w:p>
    <w:p w14:paraId="71105C57" w14:textId="77777777" w:rsidR="00172535" w:rsidRPr="00067855" w:rsidRDefault="00172535" w:rsidP="00067855">
      <w:pPr>
        <w:spacing w:after="0" w:line="240" w:lineRule="auto"/>
        <w:ind w:left="360"/>
        <w:jc w:val="both"/>
        <w:rPr>
          <w:rFonts w:eastAsia="Times New Roman" w:cstheme="minorHAnsi"/>
          <w:b/>
          <w:bCs/>
          <w:u w:val="single"/>
          <w:lang w:val="en-PH"/>
        </w:rPr>
      </w:pPr>
    </w:p>
    <w:p w14:paraId="6280C77F" w14:textId="77777777" w:rsidR="00067855" w:rsidRDefault="00067855" w:rsidP="00067855">
      <w:pPr>
        <w:spacing w:after="0" w:line="240" w:lineRule="auto"/>
        <w:ind w:left="360"/>
        <w:jc w:val="both"/>
        <w:rPr>
          <w:rFonts w:eastAsia="Times New Roman" w:cstheme="minorHAnsi"/>
          <w:lang w:val="en-PH"/>
        </w:rPr>
      </w:pPr>
      <w:r w:rsidRPr="00067855">
        <w:rPr>
          <w:rFonts w:eastAsia="Times New Roman" w:cstheme="minorHAnsi"/>
          <w:lang w:val="en-PH"/>
        </w:rPr>
        <w:t>There are no specific upcoming regulatory developments in respect of crypto-related activity in Gibraltar beyond the current regulations and guidelines. However, the GFSC continues to supervise all DLT Providers, including AML/CTF supervision, to ensure compliance with the existing regulations.</w:t>
      </w:r>
    </w:p>
    <w:p w14:paraId="4FAFACE1" w14:textId="77777777" w:rsidR="00172535" w:rsidRPr="00067855" w:rsidRDefault="00172535" w:rsidP="00067855">
      <w:pPr>
        <w:spacing w:after="0" w:line="240" w:lineRule="auto"/>
        <w:ind w:left="360"/>
        <w:jc w:val="both"/>
        <w:rPr>
          <w:rFonts w:eastAsia="Times New Roman" w:cstheme="minorHAnsi"/>
          <w:lang w:val="en-PH"/>
        </w:rPr>
      </w:pPr>
    </w:p>
    <w:p w14:paraId="0172445C" w14:textId="77777777" w:rsidR="00067855" w:rsidRDefault="00067855" w:rsidP="00067855">
      <w:pPr>
        <w:spacing w:after="0" w:line="240" w:lineRule="auto"/>
        <w:ind w:left="360"/>
        <w:jc w:val="both"/>
        <w:rPr>
          <w:rFonts w:eastAsia="Times New Roman" w:cstheme="minorHAnsi"/>
          <w:b/>
          <w:bCs/>
          <w:u w:val="single"/>
          <w:lang w:val="en-PH"/>
        </w:rPr>
      </w:pPr>
      <w:r w:rsidRPr="00067855">
        <w:rPr>
          <w:rFonts w:eastAsia="Times New Roman" w:cstheme="minorHAnsi"/>
          <w:b/>
          <w:bCs/>
          <w:u w:val="single"/>
          <w:lang w:val="en-PH"/>
        </w:rPr>
        <w:t>Has there been any notable events in Gibraltar that has prompted regulatory change recently?</w:t>
      </w:r>
    </w:p>
    <w:p w14:paraId="7AABE1E0" w14:textId="77777777" w:rsidR="00172535" w:rsidRPr="00067855" w:rsidRDefault="00172535" w:rsidP="00067855">
      <w:pPr>
        <w:spacing w:after="0" w:line="240" w:lineRule="auto"/>
        <w:ind w:left="360"/>
        <w:jc w:val="both"/>
        <w:rPr>
          <w:rFonts w:eastAsia="Times New Roman" w:cstheme="minorHAnsi"/>
          <w:b/>
          <w:bCs/>
          <w:u w:val="single"/>
          <w:lang w:val="en-PH"/>
        </w:rPr>
      </w:pPr>
    </w:p>
    <w:p w14:paraId="17B51C25" w14:textId="77777777" w:rsidR="00067855" w:rsidRPr="005E128B" w:rsidRDefault="00067855" w:rsidP="00067855">
      <w:pPr>
        <w:spacing w:after="0" w:line="240" w:lineRule="auto"/>
        <w:ind w:left="360"/>
        <w:jc w:val="both"/>
      </w:pPr>
      <w:r w:rsidRPr="005E128B">
        <w:t xml:space="preserve">Gibraltar is a well-known hub for online gaming companies. In recent years, there have been regulatory changes in the gaming industry, such as the introduction of the </w:t>
      </w:r>
      <w:hyperlink r:id="rId21" w:history="1">
        <w:r w:rsidRPr="005E128B">
          <w:t>Gambling Act 2005</w:t>
        </w:r>
      </w:hyperlink>
      <w:r w:rsidRPr="005E128B">
        <w:t xml:space="preserve"> and subsequent updates. These changes have helped Gibraltar maintain its reputation as a well-regulated jurisdiction for online gaming and have encouraged other sectors, like blockchain and cryptocurrencies, to seek similar regulatory clarity.</w:t>
      </w:r>
    </w:p>
    <w:p w14:paraId="78AA40B0" w14:textId="77777777" w:rsidR="00172535" w:rsidRPr="005E128B" w:rsidRDefault="00172535" w:rsidP="00067855">
      <w:pPr>
        <w:spacing w:after="0" w:line="240" w:lineRule="auto"/>
        <w:ind w:left="360"/>
        <w:jc w:val="both"/>
      </w:pPr>
    </w:p>
    <w:p w14:paraId="1A057D0E" w14:textId="77777777" w:rsidR="00067855" w:rsidRDefault="00067855" w:rsidP="00067855">
      <w:pPr>
        <w:spacing w:after="0" w:line="240" w:lineRule="auto"/>
        <w:ind w:left="360"/>
        <w:jc w:val="both"/>
        <w:rPr>
          <w:rFonts w:eastAsia="Times New Roman" w:cstheme="minorHAnsi"/>
          <w:lang w:val="en-PH"/>
        </w:rPr>
      </w:pPr>
      <w:r w:rsidRPr="005E128B">
        <w:t xml:space="preserve">In March 2021, Gibraltar made significant changes to the Proceeds of Crime Act 2015 to address AML/CFT, particularly for DLT and virtual asset businesses. These changes include the introduction of the FATF Travel Rule for VASPs, which requires affected firms to comply with travel rule requirements, such as obtaining and securely storing </w:t>
      </w:r>
      <w:proofErr w:type="gramStart"/>
      <w:r w:rsidRPr="005E128B">
        <w:t>particular information</w:t>
      </w:r>
      <w:proofErr w:type="gramEnd"/>
      <w:r w:rsidRPr="005E128B">
        <w:t xml:space="preserve"> on their customers when there is a transaction value equal to or in excess of one thousand euros.</w:t>
      </w:r>
    </w:p>
    <w:p w14:paraId="7BB822FF" w14:textId="77777777" w:rsidR="00172535" w:rsidRPr="00067855" w:rsidRDefault="00172535" w:rsidP="00067855">
      <w:pPr>
        <w:spacing w:after="0" w:line="240" w:lineRule="auto"/>
        <w:ind w:left="360"/>
        <w:jc w:val="both"/>
        <w:rPr>
          <w:rFonts w:eastAsia="Times New Roman" w:cstheme="minorHAnsi"/>
          <w:lang w:val="en-PH"/>
        </w:rPr>
      </w:pPr>
    </w:p>
    <w:p w14:paraId="5F9B373F" w14:textId="77777777" w:rsidR="00067855" w:rsidRPr="00172535" w:rsidRDefault="00067855" w:rsidP="00067855">
      <w:pPr>
        <w:pStyle w:val="ListParagraph"/>
        <w:numPr>
          <w:ilvl w:val="0"/>
          <w:numId w:val="19"/>
        </w:numPr>
        <w:spacing w:after="0" w:line="240" w:lineRule="auto"/>
        <w:jc w:val="both"/>
        <w:rPr>
          <w:rFonts w:eastAsia="Times New Roman" w:cstheme="minorHAnsi"/>
          <w:lang w:val="en-PH"/>
        </w:rPr>
      </w:pPr>
      <w:r w:rsidRPr="00067855">
        <w:rPr>
          <w:rFonts w:eastAsia="Times New Roman" w:cstheme="minorHAnsi"/>
          <w:b/>
          <w:bCs/>
          <w:lang w:val="en-PH"/>
        </w:rPr>
        <w:t>Pending litigation and judgments related to virtual assets in Gibraltar (if any)</w:t>
      </w:r>
    </w:p>
    <w:p w14:paraId="095E7B18" w14:textId="77777777" w:rsidR="00172535" w:rsidRPr="00067855" w:rsidRDefault="00172535" w:rsidP="00172535">
      <w:pPr>
        <w:pStyle w:val="ListParagraph"/>
        <w:spacing w:after="0" w:line="240" w:lineRule="auto"/>
        <w:ind w:left="360"/>
        <w:jc w:val="both"/>
        <w:rPr>
          <w:rFonts w:eastAsia="Times New Roman" w:cstheme="minorHAnsi"/>
          <w:lang w:val="en-PH"/>
        </w:rPr>
      </w:pPr>
    </w:p>
    <w:p w14:paraId="60A35413" w14:textId="4CEEB1AE" w:rsidR="00067855" w:rsidRDefault="00000000" w:rsidP="00067855">
      <w:pPr>
        <w:pStyle w:val="ListParagraph"/>
        <w:numPr>
          <w:ilvl w:val="0"/>
          <w:numId w:val="62"/>
        </w:numPr>
        <w:spacing w:after="0" w:line="240" w:lineRule="auto"/>
        <w:jc w:val="both"/>
        <w:rPr>
          <w:rFonts w:eastAsia="Times New Roman" w:cstheme="minorHAnsi"/>
          <w:bCs/>
          <w:lang w:val="en-SG"/>
        </w:rPr>
      </w:pPr>
      <w:hyperlink r:id="rId22" w:history="1">
        <w:r w:rsidR="00067855" w:rsidRPr="00210952">
          <w:rPr>
            <w:rStyle w:val="Hyperlink"/>
            <w:rFonts w:eastAsia="Times New Roman" w:cstheme="minorHAnsi"/>
            <w:bCs/>
            <w:color w:val="FF6E00"/>
            <w:lang w:val="en-SG"/>
          </w:rPr>
          <w:t>Globix Missing Funds Investigation</w:t>
        </w:r>
      </w:hyperlink>
      <w:r w:rsidR="00067855" w:rsidRPr="00067855">
        <w:rPr>
          <w:rFonts w:eastAsia="Times New Roman" w:cstheme="minorHAnsi"/>
          <w:bCs/>
          <w:lang w:val="en-SG"/>
        </w:rPr>
        <w:t xml:space="preserve">: The Gibraltar court freezes crypto assets totaling $43 million in a bid to locate and recover missing funds from the collapsed cryptocurrency trader Globix. This action involves freezing the digital assets of the company and its directors as part of the ongoing investigation. </w:t>
      </w:r>
    </w:p>
    <w:p w14:paraId="069BC07F" w14:textId="77777777" w:rsidR="00F45C26" w:rsidRPr="00067855" w:rsidRDefault="00F45C26" w:rsidP="00F45C26">
      <w:pPr>
        <w:pStyle w:val="ListParagraph"/>
        <w:spacing w:after="0" w:line="240" w:lineRule="auto"/>
        <w:ind w:left="1080"/>
        <w:jc w:val="both"/>
        <w:rPr>
          <w:rFonts w:eastAsia="Times New Roman" w:cstheme="minorHAnsi"/>
          <w:bCs/>
          <w:lang w:val="en-SG"/>
        </w:rPr>
      </w:pPr>
    </w:p>
    <w:p w14:paraId="74DD3983" w14:textId="148D7C3C" w:rsidR="00067855" w:rsidRDefault="00000000" w:rsidP="00067855">
      <w:pPr>
        <w:pStyle w:val="ListParagraph"/>
        <w:numPr>
          <w:ilvl w:val="0"/>
          <w:numId w:val="62"/>
        </w:numPr>
        <w:spacing w:after="0" w:line="240" w:lineRule="auto"/>
        <w:jc w:val="both"/>
        <w:rPr>
          <w:rFonts w:eastAsia="Times New Roman" w:cstheme="minorHAnsi"/>
          <w:bCs/>
          <w:lang w:val="en-SG"/>
        </w:rPr>
      </w:pPr>
      <w:hyperlink r:id="rId23" w:history="1">
        <w:r w:rsidR="00067855" w:rsidRPr="00210952">
          <w:rPr>
            <w:rStyle w:val="Hyperlink"/>
            <w:rFonts w:eastAsia="Times New Roman" w:cstheme="minorHAnsi"/>
            <w:bCs/>
            <w:color w:val="FF6E00"/>
            <w:lang w:val="en-SG"/>
          </w:rPr>
          <w:t>Mañasco Fund Misuse Allegations</w:t>
        </w:r>
      </w:hyperlink>
      <w:r w:rsidR="00067855" w:rsidRPr="00067855">
        <w:rPr>
          <w:rFonts w:eastAsia="Times New Roman" w:cstheme="minorHAnsi"/>
          <w:bCs/>
          <w:lang w:val="en-SG"/>
        </w:rPr>
        <w:t xml:space="preserve">: Former Mansion Casino CEO Karel Christian Mañasco faces a £5.0 million global freezing order on his assets following accusations of breaching duties, making unauthorised payments, and misusing company funds during his tenure at Mansion Casino. </w:t>
      </w:r>
    </w:p>
    <w:p w14:paraId="1AF80ADF" w14:textId="77777777" w:rsidR="00F45C26" w:rsidRPr="00F45C26" w:rsidRDefault="00F45C26" w:rsidP="00F45C26">
      <w:pPr>
        <w:spacing w:after="0" w:line="240" w:lineRule="auto"/>
        <w:jc w:val="both"/>
        <w:rPr>
          <w:rFonts w:eastAsia="Times New Roman" w:cstheme="minorHAnsi"/>
          <w:bCs/>
          <w:lang w:val="en-SG"/>
        </w:rPr>
      </w:pPr>
    </w:p>
    <w:p w14:paraId="437D1743" w14:textId="178150EF" w:rsidR="00210952" w:rsidRDefault="00000000" w:rsidP="00067855">
      <w:pPr>
        <w:pStyle w:val="ListParagraph"/>
        <w:numPr>
          <w:ilvl w:val="0"/>
          <w:numId w:val="62"/>
        </w:numPr>
        <w:spacing w:after="0" w:line="240" w:lineRule="auto"/>
        <w:jc w:val="both"/>
        <w:rPr>
          <w:rFonts w:eastAsia="Times New Roman" w:cstheme="minorHAnsi"/>
          <w:bCs/>
          <w:lang w:val="en-SG"/>
        </w:rPr>
      </w:pPr>
      <w:hyperlink r:id="rId24" w:history="1">
        <w:r w:rsidR="00067855" w:rsidRPr="00210952">
          <w:rPr>
            <w:rStyle w:val="Hyperlink"/>
            <w:rFonts w:eastAsia="Times New Roman" w:cstheme="minorHAnsi"/>
            <w:bCs/>
            <w:color w:val="FF6E00"/>
            <w:lang w:val="en-SG"/>
          </w:rPr>
          <w:t>Miracle World Ventures Liquidation</w:t>
        </w:r>
      </w:hyperlink>
      <w:r w:rsidR="00067855" w:rsidRPr="00210952">
        <w:rPr>
          <w:rFonts w:eastAsia="Times New Roman" w:cstheme="minorHAnsi"/>
          <w:bCs/>
          <w:lang w:val="en-SG"/>
        </w:rPr>
        <w:t>:</w:t>
      </w:r>
      <w:r w:rsidR="00067855" w:rsidRPr="00067855">
        <w:rPr>
          <w:rFonts w:eastAsia="Times New Roman" w:cstheme="minorHAnsi"/>
          <w:bCs/>
          <w:lang w:val="en-SG"/>
        </w:rPr>
        <w:t xml:space="preserve"> Miracle World Ventures Limited, registered in the British Virgin Islands, undergoes liquidation, prompting the Gibraltar Court to issue injunctions and disclosure orders pertaining to crypto assets against various parties, including unidentified individuals. This marks the first instance of Gibraltar Courts issuing such injunctions regarding crypto assets. </w:t>
      </w:r>
    </w:p>
    <w:p w14:paraId="65F443E9" w14:textId="582F5C3A" w:rsidR="00067855" w:rsidRPr="00210952" w:rsidRDefault="00067855" w:rsidP="00210952">
      <w:pPr>
        <w:spacing w:after="0" w:line="240" w:lineRule="auto"/>
        <w:ind w:left="720"/>
        <w:jc w:val="both"/>
        <w:rPr>
          <w:rFonts w:eastAsia="Times New Roman" w:cstheme="minorHAnsi"/>
          <w:bCs/>
          <w:lang w:val="en-SG"/>
        </w:rPr>
      </w:pPr>
      <w:r w:rsidRPr="00210952">
        <w:rPr>
          <w:rFonts w:eastAsia="Times New Roman" w:cstheme="minorHAnsi"/>
          <w:bCs/>
          <w:lang w:val="en-SG"/>
        </w:rPr>
        <w:t xml:space="preserve"> </w:t>
      </w:r>
    </w:p>
    <w:p w14:paraId="66DE1C15" w14:textId="77777777" w:rsidR="00067855" w:rsidRPr="00480E9A" w:rsidRDefault="00067855" w:rsidP="00067855">
      <w:pPr>
        <w:pStyle w:val="ListParagraph"/>
        <w:numPr>
          <w:ilvl w:val="0"/>
          <w:numId w:val="19"/>
        </w:numPr>
        <w:spacing w:after="0" w:line="240" w:lineRule="auto"/>
        <w:jc w:val="both"/>
        <w:rPr>
          <w:rFonts w:eastAsia="Times New Roman" w:cstheme="minorHAnsi"/>
          <w:b/>
          <w:lang w:val="en-PH"/>
        </w:rPr>
      </w:pPr>
      <w:r w:rsidRPr="00067855">
        <w:rPr>
          <w:rFonts w:eastAsia="Times New Roman" w:cstheme="minorHAnsi"/>
          <w:b/>
          <w:bCs/>
          <w:lang w:val="en-PH"/>
        </w:rPr>
        <w:t>Government outlook on virtual assets and crypto-related activities in Gibraltar</w:t>
      </w:r>
    </w:p>
    <w:p w14:paraId="54D60DEE" w14:textId="77777777" w:rsidR="00480E9A" w:rsidRPr="00067855" w:rsidRDefault="00480E9A" w:rsidP="00480E9A">
      <w:pPr>
        <w:pStyle w:val="ListParagraph"/>
        <w:spacing w:after="0" w:line="240" w:lineRule="auto"/>
        <w:ind w:left="360"/>
        <w:jc w:val="both"/>
        <w:rPr>
          <w:rFonts w:eastAsia="Times New Roman" w:cstheme="minorHAnsi"/>
          <w:b/>
          <w:lang w:val="en-PH"/>
        </w:rPr>
      </w:pPr>
    </w:p>
    <w:p w14:paraId="71E834AE"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lastRenderedPageBreak/>
        <w:t>Gibraltar has established a comprehensive regulatory framework for virtual assets. The Financial Services (Distributed Ledger Technology Providers) Regulations 2020 set the rules that apply in Gibraltar to people who want to create and sell virtual assets. Under these regulations, entities must obtain authorisation from the GFSA before conducting activities involving virtual/digital assets. The regulations also specify the ongoing obligations that must be met and the regulatory principles that must be followed. The rules are designed to address risk management and represent principles-based regulations that allow innovation to flourish.</w:t>
      </w:r>
    </w:p>
    <w:p w14:paraId="7439FC5B"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6F9326B7"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The GFSC has also issued ten guidance notes to supplement the DLT framework. These provide clarification on regulatory principles, risk management, financial crime risks, technology and cybersecurity risks, contingency planning, governance arrangements, fitness and propriety of key individuals, outsourcing arrangements, and conflicts of interest. The guidance notes are designed to assist DLT providers in understanding their obligations under the regulatory framework and maintaining high regulatory standards.</w:t>
      </w:r>
    </w:p>
    <w:p w14:paraId="7B413DD4"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0EDD7E4"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In addition to the guidance notes mentioned above, the GFSC provides additional guidance notes for VASPs operating in Gibraltar. These offer detailed information on the GFSC’s expectations for VASPs in areas such as AML/CFT compliance, risk management, IT security, and customer due diligence. The guidance notes also include expectations for preventing and detecting market misconduct, such as insider dealing and market manipulation.</w:t>
      </w:r>
    </w:p>
    <w:p w14:paraId="0F8012A2"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3F578B4C" w14:textId="77777777" w:rsidR="00067855" w:rsidRP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Failure to comply with these requirements may result in significant penalties, including fines and/or the revocation of authorisation, which could seriously impact the operations of the fund. Managers of crypto funds also must be prepared for ongoing supervision and monitoring by the GFSC. This includes on-site inspections and investigations by the GFSC, to ensure that the manager is fully compliant with the laws and regulations that are relevant to the operation of the fund in Gibraltar.</w:t>
      </w:r>
    </w:p>
    <w:p w14:paraId="1C87B02A" w14:textId="77777777" w:rsidR="00067855" w:rsidRPr="00067855" w:rsidRDefault="00067855" w:rsidP="00067855">
      <w:pPr>
        <w:pStyle w:val="ListParagraph"/>
        <w:spacing w:after="0" w:line="240" w:lineRule="auto"/>
        <w:ind w:left="360"/>
        <w:jc w:val="both"/>
        <w:rPr>
          <w:rFonts w:eastAsia="Times New Roman" w:cstheme="minorHAnsi"/>
          <w:bCs/>
          <w:lang w:val="en-PH"/>
        </w:rPr>
      </w:pPr>
    </w:p>
    <w:p w14:paraId="1C7DEEA9" w14:textId="77777777" w:rsidR="00067855" w:rsidRPr="00480E9A" w:rsidRDefault="00067855" w:rsidP="00067855">
      <w:pPr>
        <w:pStyle w:val="ListParagraph"/>
        <w:numPr>
          <w:ilvl w:val="0"/>
          <w:numId w:val="19"/>
        </w:numPr>
        <w:spacing w:after="0" w:line="240" w:lineRule="auto"/>
        <w:jc w:val="both"/>
        <w:rPr>
          <w:rFonts w:eastAsia="Times New Roman" w:cstheme="minorHAnsi"/>
          <w:bCs/>
          <w:lang w:val="en-PH"/>
        </w:rPr>
      </w:pPr>
      <w:r w:rsidRPr="00067855">
        <w:rPr>
          <w:rFonts w:eastAsia="Times New Roman" w:cstheme="minorHAnsi"/>
          <w:b/>
          <w:bCs/>
          <w:lang w:val="en-PH"/>
        </w:rPr>
        <w:t>Advantages of setting up a VASP in Gibraltar</w:t>
      </w:r>
    </w:p>
    <w:p w14:paraId="06F67945" w14:textId="77777777" w:rsidR="00480E9A" w:rsidRPr="00067855" w:rsidRDefault="00480E9A" w:rsidP="00480E9A">
      <w:pPr>
        <w:pStyle w:val="ListParagraph"/>
        <w:spacing w:after="0" w:line="240" w:lineRule="auto"/>
        <w:ind w:left="360"/>
        <w:jc w:val="both"/>
        <w:rPr>
          <w:rFonts w:eastAsia="Times New Roman" w:cstheme="minorHAnsi"/>
          <w:bCs/>
          <w:lang w:val="en-PH"/>
        </w:rPr>
      </w:pPr>
    </w:p>
    <w:p w14:paraId="2639941A" w14:textId="77777777" w:rsidR="00067855" w:rsidRDefault="00067855" w:rsidP="00067855">
      <w:pPr>
        <w:pStyle w:val="ListParagraph"/>
        <w:spacing w:after="0" w:line="240" w:lineRule="auto"/>
        <w:ind w:left="360"/>
        <w:jc w:val="both"/>
        <w:rPr>
          <w:rFonts w:eastAsia="Times New Roman" w:cstheme="minorHAnsi"/>
          <w:bCs/>
          <w:lang w:val="en-PH"/>
        </w:rPr>
      </w:pPr>
      <w:r w:rsidRPr="00067855">
        <w:rPr>
          <w:rFonts w:eastAsia="Times New Roman" w:cstheme="minorHAnsi"/>
          <w:bCs/>
          <w:lang w:val="en-PH"/>
        </w:rPr>
        <w:t>Gibraltar has become an attractive jurisdiction for VASPs due to its well-defined regulatory framework, favorable business environment, and adequate approach to the development of the blockchain and cryptocurrency industry. Some advantages of setting up a VASP in Gibraltar include:</w:t>
      </w:r>
    </w:p>
    <w:p w14:paraId="112A27F3" w14:textId="77777777" w:rsidR="00480E9A" w:rsidRPr="00480E9A" w:rsidRDefault="00480E9A" w:rsidP="00480E9A">
      <w:pPr>
        <w:spacing w:after="0" w:line="240" w:lineRule="auto"/>
        <w:jc w:val="both"/>
        <w:rPr>
          <w:rFonts w:eastAsia="Times New Roman" w:cstheme="minorHAnsi"/>
          <w:bCs/>
          <w:lang w:val="en-PH"/>
        </w:rPr>
      </w:pPr>
    </w:p>
    <w:p w14:paraId="09F36099"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Regulatory clarity</w:t>
      </w:r>
      <w:r w:rsidRPr="00067855">
        <w:rPr>
          <w:rFonts w:eastAsia="Times New Roman" w:cstheme="minorHAnsi"/>
          <w:bCs/>
          <w:lang w:val="en-PH"/>
        </w:rPr>
        <w:t>: Gibraltar was one of the first jurisdictions to introduce a comprehensive regulatory framework for DLT providers, including VASPs. The GFSC grants licenses to VASPs under the Financial Services (Distributed Ledger Technology Providers) Regulations 2020, ensuring a well-defined regulatory environment.</w:t>
      </w:r>
    </w:p>
    <w:p w14:paraId="3E1841A4" w14:textId="77777777" w:rsidR="00480E9A" w:rsidRPr="00067855" w:rsidRDefault="00480E9A" w:rsidP="007D3AEB">
      <w:pPr>
        <w:pStyle w:val="ListParagraph"/>
        <w:spacing w:after="0" w:line="240" w:lineRule="auto"/>
        <w:ind w:left="1080"/>
        <w:jc w:val="both"/>
        <w:rPr>
          <w:rFonts w:eastAsia="Times New Roman" w:cstheme="minorHAnsi"/>
          <w:bCs/>
          <w:lang w:val="en-PH"/>
        </w:rPr>
      </w:pPr>
    </w:p>
    <w:p w14:paraId="58CD7511"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a skilled workforce</w:t>
      </w:r>
      <w:r w:rsidRPr="00067855">
        <w:rPr>
          <w:rFonts w:eastAsia="Times New Roman" w:cstheme="minorHAnsi"/>
          <w:bCs/>
          <w:lang w:val="en-PH"/>
        </w:rPr>
        <w:t>: Gibraltar has a growing pool of professionals with expertise in blockchain technology, cryptocurrencies, and financial services, making it easier for VASPs to find and hire qualified personnel.</w:t>
      </w:r>
    </w:p>
    <w:p w14:paraId="2B5C1A08" w14:textId="77777777" w:rsidR="00480E9A" w:rsidRPr="00480E9A" w:rsidRDefault="00480E9A" w:rsidP="007D3AEB">
      <w:pPr>
        <w:spacing w:after="0" w:line="240" w:lineRule="auto"/>
        <w:jc w:val="both"/>
        <w:rPr>
          <w:rFonts w:eastAsia="Times New Roman" w:cstheme="minorHAnsi"/>
          <w:bCs/>
          <w:lang w:val="en-PH"/>
        </w:rPr>
      </w:pPr>
    </w:p>
    <w:p w14:paraId="5D1102D0"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Favorable tax regime</w:t>
      </w:r>
      <w:r w:rsidRPr="00067855">
        <w:rPr>
          <w:rFonts w:eastAsia="Times New Roman" w:cstheme="minorHAnsi"/>
          <w:bCs/>
          <w:lang w:val="en-PH"/>
        </w:rPr>
        <w:t>: Gibraltar offers an attractive corporate tax system with a standard corporate tax rate of 10%. Additionally, there is no capital gains tax, withholding tax, or value-added tax in Gibraltar.</w:t>
      </w:r>
    </w:p>
    <w:p w14:paraId="1B63EAE9" w14:textId="77777777" w:rsidR="00480E9A" w:rsidRPr="00480E9A" w:rsidRDefault="00480E9A" w:rsidP="007D3AEB">
      <w:pPr>
        <w:spacing w:after="0" w:line="240" w:lineRule="auto"/>
        <w:jc w:val="both"/>
        <w:rPr>
          <w:rFonts w:eastAsia="Times New Roman" w:cstheme="minorHAnsi"/>
          <w:bCs/>
          <w:lang w:val="en-PH"/>
        </w:rPr>
      </w:pPr>
    </w:p>
    <w:p w14:paraId="70A5C62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Collaborative approach</w:t>
      </w:r>
      <w:r w:rsidRPr="00067855">
        <w:rPr>
          <w:rFonts w:eastAsia="Times New Roman" w:cstheme="minorHAnsi"/>
          <w:bCs/>
          <w:lang w:val="en-PH"/>
        </w:rPr>
        <w:t>: The Gibraltar government and the GFSC actively engage with industry stakeholders and promote the development of the blockchain and cryptocurrency ecosystem.</w:t>
      </w:r>
    </w:p>
    <w:p w14:paraId="718CABF4" w14:textId="77777777" w:rsidR="00480E9A" w:rsidRPr="00480E9A" w:rsidRDefault="00480E9A" w:rsidP="007D3AEB">
      <w:pPr>
        <w:spacing w:after="0" w:line="240" w:lineRule="auto"/>
        <w:jc w:val="both"/>
        <w:rPr>
          <w:rFonts w:eastAsia="Times New Roman" w:cstheme="minorHAnsi"/>
          <w:bCs/>
          <w:lang w:val="en-PH"/>
        </w:rPr>
      </w:pPr>
    </w:p>
    <w:p w14:paraId="22AF5874" w14:textId="77777777" w:rsidR="00067855"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Access to European markets</w:t>
      </w:r>
      <w:r w:rsidRPr="00067855">
        <w:rPr>
          <w:rFonts w:eastAsia="Times New Roman" w:cstheme="minorHAnsi"/>
          <w:bCs/>
          <w:lang w:val="en-PH"/>
        </w:rPr>
        <w:t>: Although Gibraltar is a British Overseas Territory, it maintains a close relationship with the European Union. This strategic location can provide VASPs with access to European markets, although the specific arrangements may change due to Brexit and other factors.</w:t>
      </w:r>
    </w:p>
    <w:p w14:paraId="629757AE" w14:textId="77777777" w:rsidR="00480E9A" w:rsidRPr="00480E9A" w:rsidRDefault="00480E9A" w:rsidP="007D3AEB">
      <w:pPr>
        <w:spacing w:after="0" w:line="240" w:lineRule="auto"/>
        <w:jc w:val="both"/>
        <w:rPr>
          <w:rFonts w:eastAsia="Times New Roman" w:cstheme="minorHAnsi"/>
          <w:bCs/>
          <w:lang w:val="en-PH"/>
        </w:rPr>
      </w:pPr>
    </w:p>
    <w:p w14:paraId="1DB698D6" w14:textId="77777777" w:rsidR="00480E9A" w:rsidRDefault="00067855" w:rsidP="007D3AEB">
      <w:pPr>
        <w:pStyle w:val="ListParagraph"/>
        <w:numPr>
          <w:ilvl w:val="0"/>
          <w:numId w:val="64"/>
        </w:numPr>
        <w:spacing w:after="0" w:line="240" w:lineRule="auto"/>
        <w:jc w:val="both"/>
        <w:rPr>
          <w:rFonts w:eastAsia="Times New Roman" w:cstheme="minorHAnsi"/>
          <w:bCs/>
          <w:lang w:val="en-PH"/>
        </w:rPr>
      </w:pPr>
      <w:r w:rsidRPr="00067855">
        <w:rPr>
          <w:rFonts w:eastAsia="Times New Roman" w:cstheme="minorHAnsi"/>
          <w:bCs/>
          <w:u w:val="single"/>
          <w:lang w:val="en-PH"/>
        </w:rPr>
        <w:t>AML/CFT framework</w:t>
      </w:r>
      <w:r w:rsidRPr="00067855">
        <w:rPr>
          <w:rFonts w:eastAsia="Times New Roman" w:cstheme="minorHAnsi"/>
          <w:bCs/>
          <w:lang w:val="en-PH"/>
        </w:rPr>
        <w:t>: Gibraltar has implemented strong AML/CFT regulations, ensuring that VASPs operating in the jurisdiction adhere to international standards and best practices.</w:t>
      </w:r>
    </w:p>
    <w:p w14:paraId="01120CA8" w14:textId="77777777" w:rsidR="00480E9A" w:rsidRPr="00480E9A" w:rsidRDefault="00480E9A" w:rsidP="007D3AEB">
      <w:pPr>
        <w:pStyle w:val="ListParagraph"/>
        <w:rPr>
          <w:rFonts w:eastAsia="Times New Roman" w:cstheme="minorHAnsi"/>
          <w:bCs/>
          <w:u w:val="single"/>
          <w:lang w:val="en-PH"/>
        </w:rPr>
      </w:pPr>
    </w:p>
    <w:p w14:paraId="4C2A2D24" w14:textId="6F049435" w:rsidR="00067855" w:rsidRPr="00480E9A" w:rsidRDefault="00067855" w:rsidP="007D3AEB">
      <w:pPr>
        <w:pStyle w:val="ListParagraph"/>
        <w:numPr>
          <w:ilvl w:val="0"/>
          <w:numId w:val="64"/>
        </w:numPr>
        <w:spacing w:after="0" w:line="240" w:lineRule="auto"/>
        <w:jc w:val="both"/>
        <w:rPr>
          <w:rFonts w:eastAsia="Times New Roman" w:cstheme="minorHAnsi"/>
          <w:bCs/>
          <w:lang w:val="en-PH"/>
        </w:rPr>
      </w:pPr>
      <w:r w:rsidRPr="00480E9A">
        <w:rPr>
          <w:rFonts w:eastAsia="Times New Roman" w:cstheme="minorHAnsi"/>
          <w:bCs/>
          <w:u w:val="single"/>
          <w:lang w:val="en-PH"/>
        </w:rPr>
        <w:t>English common law</w:t>
      </w:r>
      <w:r w:rsidRPr="00480E9A">
        <w:rPr>
          <w:rFonts w:eastAsia="Times New Roman" w:cstheme="minorHAnsi"/>
          <w:bCs/>
          <w:lang w:val="en-PH"/>
        </w:rPr>
        <w:t>: Gibraltar’s legal system is based on English common law, which provides a familiar and stable legal environment for businesses from common law jurisdictions.</w:t>
      </w:r>
    </w:p>
    <w:p w14:paraId="54033357" w14:textId="77777777" w:rsidR="00E225D8" w:rsidRDefault="00E225D8" w:rsidP="00CA734A">
      <w:pPr>
        <w:jc w:val="both"/>
        <w:rPr>
          <w:rFonts w:eastAsia="Times New Roman"/>
          <w:i/>
          <w:lang w:val="en-SG"/>
        </w:rPr>
      </w:pPr>
    </w:p>
    <w:p w14:paraId="48FCC381" w14:textId="77777777" w:rsidR="00E225D8" w:rsidRDefault="00E225D8" w:rsidP="00FF627A">
      <w:pPr>
        <w:ind w:left="1080"/>
        <w:jc w:val="both"/>
        <w:rPr>
          <w:rFonts w:eastAsia="Times New Roman"/>
          <w:i/>
          <w:lang w:val="en-SG"/>
        </w:rPr>
      </w:pPr>
    </w:p>
    <w:p w14:paraId="54EEBB56" w14:textId="77777777" w:rsidR="006819D9" w:rsidRDefault="006819D9" w:rsidP="00FF627A">
      <w:pPr>
        <w:ind w:left="1080"/>
        <w:jc w:val="both"/>
        <w:rPr>
          <w:rFonts w:eastAsia="Times New Roman"/>
          <w:i/>
          <w:lang w:val="en-SG"/>
        </w:rPr>
      </w:pPr>
    </w:p>
    <w:p w14:paraId="3DD166F1" w14:textId="77777777" w:rsidR="006819D9" w:rsidRDefault="006819D9" w:rsidP="00FF627A">
      <w:pPr>
        <w:ind w:left="1080"/>
        <w:jc w:val="both"/>
        <w:rPr>
          <w:rFonts w:eastAsia="Times New Roman"/>
          <w:i/>
          <w:lang w:val="en-SG"/>
        </w:rPr>
      </w:pPr>
    </w:p>
    <w:p w14:paraId="3EFE1B04" w14:textId="77777777" w:rsidR="006819D9" w:rsidRDefault="006819D9" w:rsidP="00FF627A">
      <w:pPr>
        <w:ind w:left="1080"/>
        <w:jc w:val="both"/>
        <w:rPr>
          <w:rFonts w:eastAsia="Times New Roman"/>
          <w:i/>
          <w:lang w:val="en-SG"/>
        </w:rPr>
      </w:pPr>
    </w:p>
    <w:p w14:paraId="56C22584" w14:textId="77777777" w:rsidR="006819D9" w:rsidRDefault="006819D9" w:rsidP="00FF627A">
      <w:pPr>
        <w:ind w:left="1080"/>
        <w:jc w:val="both"/>
        <w:rPr>
          <w:rFonts w:eastAsia="Times New Roman"/>
          <w:i/>
          <w:lang w:val="en-SG"/>
        </w:rPr>
      </w:pPr>
    </w:p>
    <w:p w14:paraId="682F817B" w14:textId="77777777" w:rsidR="006819D9" w:rsidRDefault="006819D9" w:rsidP="00FF627A">
      <w:pPr>
        <w:ind w:left="1080"/>
        <w:jc w:val="both"/>
        <w:rPr>
          <w:rFonts w:eastAsia="Times New Roman"/>
          <w:i/>
          <w:lang w:val="en-SG"/>
        </w:rPr>
      </w:pPr>
    </w:p>
    <w:p w14:paraId="529087EE" w14:textId="77777777" w:rsidR="006819D9" w:rsidRDefault="006819D9" w:rsidP="004C70E3">
      <w:pPr>
        <w:jc w:val="both"/>
        <w:rPr>
          <w:rFonts w:eastAsia="Times New Roman"/>
          <w:i/>
          <w:lang w:val="en-SG"/>
        </w:rPr>
      </w:pPr>
    </w:p>
    <w:p w14:paraId="7408046C" w14:textId="77777777" w:rsidR="006819D9" w:rsidRDefault="006819D9" w:rsidP="00407D06">
      <w:pPr>
        <w:jc w:val="both"/>
        <w:rPr>
          <w:rFonts w:eastAsia="Times New Roman"/>
          <w:i/>
          <w:lang w:val="en-SG"/>
        </w:rPr>
      </w:pPr>
    </w:p>
    <w:p w14:paraId="21A2D74F" w14:textId="77777777" w:rsidR="006819D9" w:rsidRPr="00FF627A" w:rsidRDefault="006819D9" w:rsidP="00FF627A">
      <w:pPr>
        <w:ind w:left="1080"/>
        <w:jc w:val="both"/>
        <w:rPr>
          <w:rFonts w:eastAsia="Times New Roman"/>
          <w:i/>
          <w:lang w:val="en-SG"/>
        </w:rPr>
      </w:pPr>
    </w:p>
    <w:p w14:paraId="77240B7A" w14:textId="77777777" w:rsidR="0040481C" w:rsidRDefault="0040481C" w:rsidP="00855688">
      <w:pPr>
        <w:pStyle w:val="Disclaimer"/>
        <w:spacing w:before="0" w:after="0"/>
        <w:rPr>
          <w:rFonts w:ascii="Arial" w:hAnsi="Arial" w:cs="Arial"/>
          <w:b/>
          <w:bCs/>
          <w:sz w:val="22"/>
          <w:szCs w:val="22"/>
        </w:rPr>
      </w:pPr>
      <w:bookmarkStart w:id="0" w:name="_Hlk171091278"/>
      <w:r w:rsidRPr="00057737">
        <w:rPr>
          <w:rFonts w:ascii="Arial" w:hAnsi="Arial" w:cs="Arial"/>
          <w:b/>
          <w:bCs/>
          <w:sz w:val="22"/>
          <w:szCs w:val="22"/>
        </w:rPr>
        <w:t>Disclaimer</w:t>
      </w:r>
    </w:p>
    <w:p w14:paraId="793A0C16" w14:textId="77777777" w:rsidR="00855688" w:rsidRPr="00057737" w:rsidRDefault="00855688" w:rsidP="00855688">
      <w:pPr>
        <w:pStyle w:val="Disclaimer"/>
        <w:spacing w:before="0" w:after="0"/>
        <w:rPr>
          <w:rFonts w:ascii="Arial" w:hAnsi="Arial" w:cs="Arial"/>
          <w:b/>
          <w:bCs/>
          <w:sz w:val="22"/>
          <w:szCs w:val="22"/>
        </w:rPr>
      </w:pPr>
    </w:p>
    <w:p w14:paraId="3CD936F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54FA230D" w14:textId="77777777" w:rsidR="00855688" w:rsidRPr="00057737" w:rsidRDefault="00855688" w:rsidP="00855688">
      <w:pPr>
        <w:pStyle w:val="Disclaimer"/>
        <w:spacing w:before="0" w:after="0"/>
        <w:rPr>
          <w:rFonts w:ascii="Arial" w:hAnsi="Arial" w:cs="Arial"/>
          <w:sz w:val="22"/>
          <w:szCs w:val="22"/>
        </w:rPr>
      </w:pPr>
    </w:p>
    <w:p w14:paraId="741E6E14"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23BC14D7" w14:textId="77777777" w:rsidR="00855688" w:rsidRPr="00057737" w:rsidRDefault="00855688" w:rsidP="00855688">
      <w:pPr>
        <w:pStyle w:val="Disclaimer"/>
        <w:spacing w:before="0" w:after="0"/>
        <w:rPr>
          <w:rFonts w:ascii="Arial" w:hAnsi="Arial" w:cs="Arial"/>
          <w:sz w:val="22"/>
          <w:szCs w:val="22"/>
        </w:rPr>
      </w:pPr>
    </w:p>
    <w:p w14:paraId="4E71F8FD"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7C0B0A2F" w14:textId="77777777" w:rsidR="00855688" w:rsidRPr="00057737" w:rsidRDefault="00855688" w:rsidP="00855688">
      <w:pPr>
        <w:pStyle w:val="Disclaimer"/>
        <w:spacing w:before="0" w:after="0"/>
        <w:rPr>
          <w:rFonts w:ascii="Arial" w:hAnsi="Arial" w:cs="Arial"/>
          <w:sz w:val="22"/>
          <w:szCs w:val="22"/>
        </w:rPr>
      </w:pPr>
    </w:p>
    <w:p w14:paraId="0569E857" w14:textId="77777777" w:rsidR="0040481C" w:rsidRDefault="0040481C" w:rsidP="00855688">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0A1BB76" w:rsidR="00A57542" w:rsidRPr="00A405AA" w:rsidRDefault="00B4763A" w:rsidP="00A405AA">
      <w:pPr>
        <w:shd w:val="clear" w:color="auto" w:fill="000000"/>
        <w:spacing w:after="200"/>
        <w:jc w:val="center"/>
        <w:rPr>
          <w:rFonts w:ascii="Arial" w:eastAsia="Cambria" w:hAnsi="Arial" w:cs="Arial"/>
          <w:color w:val="FFFFFF"/>
          <w:lang w:val="en-GB"/>
        </w:rPr>
      </w:pPr>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092ADC" w:rsidRPr="00092ADC">
        <w:rPr>
          <w:rFonts w:ascii="Arial" w:eastAsia="Cambria" w:hAnsi="Arial" w:cs="Arial"/>
          <w:lang w:val="en-GB"/>
        </w:rPr>
        <w:t>Gibraltar</w:t>
      </w:r>
      <w:r w:rsidR="00A405AA">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092ADC">
        <w:rPr>
          <w:rFonts w:ascii="Arial" w:eastAsia="Cambria" w:hAnsi="Arial" w:cs="Arial"/>
          <w:color w:val="FFFFFF"/>
          <w:lang w:val="en-GB"/>
        </w:rPr>
        <w:t>April</w:t>
      </w:r>
      <w:r w:rsidR="00A405AA">
        <w:rPr>
          <w:rFonts w:ascii="Arial" w:eastAsia="Cambria" w:hAnsi="Arial" w:cs="Arial"/>
          <w:color w:val="FFFFFF"/>
          <w:lang w:val="en-GB"/>
        </w:rPr>
        <w:t xml:space="preserve"> 2024</w:t>
      </w:r>
    </w:p>
    <w:sectPr w:rsidR="00A57542" w:rsidRPr="00A405AA" w:rsidSect="00D1239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AFE5" w14:textId="77777777" w:rsidR="00C457D4" w:rsidRDefault="00C457D4" w:rsidP="005A6CCC">
      <w:pPr>
        <w:spacing w:after="0" w:line="240" w:lineRule="auto"/>
      </w:pPr>
      <w:r>
        <w:separator/>
      </w:r>
    </w:p>
  </w:endnote>
  <w:endnote w:type="continuationSeparator" w:id="0">
    <w:p w14:paraId="6F7AB8BB" w14:textId="77777777" w:rsidR="00C457D4" w:rsidRDefault="00C457D4"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E95E" w14:textId="77777777" w:rsidR="00C457D4" w:rsidRDefault="00C457D4" w:rsidP="005A6CCC">
      <w:pPr>
        <w:spacing w:after="0" w:line="240" w:lineRule="auto"/>
      </w:pPr>
      <w:r>
        <w:separator/>
      </w:r>
    </w:p>
  </w:footnote>
  <w:footnote w:type="continuationSeparator" w:id="0">
    <w:p w14:paraId="170711B1" w14:textId="77777777" w:rsidR="00C457D4" w:rsidRDefault="00C457D4"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0"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1"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6"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1"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52"/>
  </w:num>
  <w:num w:numId="3" w16cid:durableId="973294829">
    <w:abstractNumId w:val="12"/>
  </w:num>
  <w:num w:numId="4" w16cid:durableId="555043017">
    <w:abstractNumId w:val="0"/>
  </w:num>
  <w:num w:numId="5" w16cid:durableId="1115052401">
    <w:abstractNumId w:val="59"/>
  </w:num>
  <w:num w:numId="6" w16cid:durableId="1355031481">
    <w:abstractNumId w:val="34"/>
  </w:num>
  <w:num w:numId="7" w16cid:durableId="2017657778">
    <w:abstractNumId w:val="38"/>
  </w:num>
  <w:num w:numId="8" w16cid:durableId="216361102">
    <w:abstractNumId w:val="28"/>
  </w:num>
  <w:num w:numId="9" w16cid:durableId="604732300">
    <w:abstractNumId w:val="43"/>
  </w:num>
  <w:num w:numId="10" w16cid:durableId="1132018037">
    <w:abstractNumId w:val="3"/>
  </w:num>
  <w:num w:numId="11" w16cid:durableId="1221555931">
    <w:abstractNumId w:val="54"/>
  </w:num>
  <w:num w:numId="12" w16cid:durableId="1092899972">
    <w:abstractNumId w:val="6"/>
  </w:num>
  <w:num w:numId="13" w16cid:durableId="1963459333">
    <w:abstractNumId w:val="1"/>
  </w:num>
  <w:num w:numId="14" w16cid:durableId="661202714">
    <w:abstractNumId w:val="42"/>
    <w:lvlOverride w:ilvl="0">
      <w:lvl w:ilvl="0">
        <w:numFmt w:val="lowerRoman"/>
        <w:lvlText w:val="%1."/>
        <w:lvlJc w:val="right"/>
      </w:lvl>
    </w:lvlOverride>
  </w:num>
  <w:num w:numId="15" w16cid:durableId="1415124718">
    <w:abstractNumId w:val="42"/>
    <w:lvlOverride w:ilvl="0">
      <w:lvl w:ilvl="0">
        <w:numFmt w:val="lowerRoman"/>
        <w:lvlText w:val="%1."/>
        <w:lvlJc w:val="right"/>
      </w:lvl>
    </w:lvlOverride>
  </w:num>
  <w:num w:numId="16" w16cid:durableId="356656828">
    <w:abstractNumId w:val="42"/>
    <w:lvlOverride w:ilvl="0">
      <w:lvl w:ilvl="0">
        <w:numFmt w:val="lowerRoman"/>
        <w:lvlText w:val="%1."/>
        <w:lvlJc w:val="right"/>
      </w:lvl>
    </w:lvlOverride>
  </w:num>
  <w:num w:numId="17" w16cid:durableId="1517766985">
    <w:abstractNumId w:val="42"/>
    <w:lvlOverride w:ilvl="0">
      <w:lvl w:ilvl="0">
        <w:numFmt w:val="lowerRoman"/>
        <w:lvlText w:val="%1."/>
        <w:lvlJc w:val="right"/>
      </w:lvl>
    </w:lvlOverride>
  </w:num>
  <w:num w:numId="18" w16cid:durableId="660040616">
    <w:abstractNumId w:val="32"/>
  </w:num>
  <w:num w:numId="19" w16cid:durableId="6102727">
    <w:abstractNumId w:val="16"/>
  </w:num>
  <w:num w:numId="20" w16cid:durableId="1493520641">
    <w:abstractNumId w:val="25"/>
  </w:num>
  <w:num w:numId="21" w16cid:durableId="394161690">
    <w:abstractNumId w:val="13"/>
  </w:num>
  <w:num w:numId="22" w16cid:durableId="117797974">
    <w:abstractNumId w:val="21"/>
  </w:num>
  <w:num w:numId="23" w16cid:durableId="639926122">
    <w:abstractNumId w:val="4"/>
  </w:num>
  <w:num w:numId="24" w16cid:durableId="135998681">
    <w:abstractNumId w:val="50"/>
  </w:num>
  <w:num w:numId="25" w16cid:durableId="688526435">
    <w:abstractNumId w:val="22"/>
  </w:num>
  <w:num w:numId="26" w16cid:durableId="362293807">
    <w:abstractNumId w:val="15"/>
  </w:num>
  <w:num w:numId="27" w16cid:durableId="958680568">
    <w:abstractNumId w:val="33"/>
  </w:num>
  <w:num w:numId="28" w16cid:durableId="904878562">
    <w:abstractNumId w:val="47"/>
  </w:num>
  <w:num w:numId="29" w16cid:durableId="852308163">
    <w:abstractNumId w:val="36"/>
  </w:num>
  <w:num w:numId="30" w16cid:durableId="1558203664">
    <w:abstractNumId w:val="7"/>
  </w:num>
  <w:num w:numId="31" w16cid:durableId="1357654313">
    <w:abstractNumId w:val="24"/>
  </w:num>
  <w:num w:numId="32" w16cid:durableId="796682089">
    <w:abstractNumId w:val="58"/>
  </w:num>
  <w:num w:numId="33" w16cid:durableId="683823723">
    <w:abstractNumId w:val="9"/>
  </w:num>
  <w:num w:numId="34" w16cid:durableId="1331644596">
    <w:abstractNumId w:val="51"/>
  </w:num>
  <w:num w:numId="35" w16cid:durableId="734859854">
    <w:abstractNumId w:val="41"/>
  </w:num>
  <w:num w:numId="36" w16cid:durableId="1007753894">
    <w:abstractNumId w:val="45"/>
  </w:num>
  <w:num w:numId="37" w16cid:durableId="1616332326">
    <w:abstractNumId w:val="55"/>
  </w:num>
  <w:num w:numId="38" w16cid:durableId="1219364039">
    <w:abstractNumId w:val="46"/>
  </w:num>
  <w:num w:numId="39" w16cid:durableId="1146123947">
    <w:abstractNumId w:val="31"/>
  </w:num>
  <w:num w:numId="40" w16cid:durableId="1034310070">
    <w:abstractNumId w:val="5"/>
  </w:num>
  <w:num w:numId="41" w16cid:durableId="1346057356">
    <w:abstractNumId w:val="8"/>
  </w:num>
  <w:num w:numId="42" w16cid:durableId="564488692">
    <w:abstractNumId w:val="10"/>
  </w:num>
  <w:num w:numId="43" w16cid:durableId="2112242200">
    <w:abstractNumId w:val="60"/>
  </w:num>
  <w:num w:numId="44" w16cid:durableId="799038119">
    <w:abstractNumId w:val="56"/>
  </w:num>
  <w:num w:numId="45" w16cid:durableId="1818255105">
    <w:abstractNumId w:val="44"/>
  </w:num>
  <w:num w:numId="46" w16cid:durableId="512110092">
    <w:abstractNumId w:val="20"/>
  </w:num>
  <w:num w:numId="47" w16cid:durableId="720789790">
    <w:abstractNumId w:val="57"/>
  </w:num>
  <w:num w:numId="48" w16cid:durableId="1305426124">
    <w:abstractNumId w:val="11"/>
  </w:num>
  <w:num w:numId="49" w16cid:durableId="751048207">
    <w:abstractNumId w:val="18"/>
  </w:num>
  <w:num w:numId="50" w16cid:durableId="227305721">
    <w:abstractNumId w:val="48"/>
  </w:num>
  <w:num w:numId="51" w16cid:durableId="861165860">
    <w:abstractNumId w:val="40"/>
  </w:num>
  <w:num w:numId="52" w16cid:durableId="535626006">
    <w:abstractNumId w:val="53"/>
  </w:num>
  <w:num w:numId="53" w16cid:durableId="731079423">
    <w:abstractNumId w:val="29"/>
  </w:num>
  <w:num w:numId="54" w16cid:durableId="984434126">
    <w:abstractNumId w:val="26"/>
  </w:num>
  <w:num w:numId="55" w16cid:durableId="63527782">
    <w:abstractNumId w:val="14"/>
  </w:num>
  <w:num w:numId="56" w16cid:durableId="1455179136">
    <w:abstractNumId w:val="2"/>
  </w:num>
  <w:num w:numId="57" w16cid:durableId="474345">
    <w:abstractNumId w:val="49"/>
  </w:num>
  <w:num w:numId="58" w16cid:durableId="1526944901">
    <w:abstractNumId w:val="27"/>
  </w:num>
  <w:num w:numId="59" w16cid:durableId="489828019">
    <w:abstractNumId w:val="35"/>
  </w:num>
  <w:num w:numId="60" w16cid:durableId="799765859">
    <w:abstractNumId w:val="19"/>
  </w:num>
  <w:num w:numId="61" w16cid:durableId="1154948242">
    <w:abstractNumId w:val="23"/>
  </w:num>
  <w:num w:numId="62" w16cid:durableId="747772854">
    <w:abstractNumId w:val="30"/>
  </w:num>
  <w:num w:numId="63" w16cid:durableId="1713143087">
    <w:abstractNumId w:val="37"/>
  </w:num>
  <w:num w:numId="64" w16cid:durableId="102566913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551D"/>
    <w:rsid w:val="000243D9"/>
    <w:rsid w:val="00024F62"/>
    <w:rsid w:val="000261AF"/>
    <w:rsid w:val="00034A74"/>
    <w:rsid w:val="00035967"/>
    <w:rsid w:val="00036C05"/>
    <w:rsid w:val="000450EC"/>
    <w:rsid w:val="00045589"/>
    <w:rsid w:val="00055654"/>
    <w:rsid w:val="000608FB"/>
    <w:rsid w:val="00063753"/>
    <w:rsid w:val="00063802"/>
    <w:rsid w:val="00067855"/>
    <w:rsid w:val="00092ADC"/>
    <w:rsid w:val="00092D28"/>
    <w:rsid w:val="000A3800"/>
    <w:rsid w:val="000A40AA"/>
    <w:rsid w:val="000A6ABC"/>
    <w:rsid w:val="000B2FAD"/>
    <w:rsid w:val="000B60E8"/>
    <w:rsid w:val="000B7C38"/>
    <w:rsid w:val="000C309D"/>
    <w:rsid w:val="000C478D"/>
    <w:rsid w:val="000E2273"/>
    <w:rsid w:val="000E568E"/>
    <w:rsid w:val="000E7DAA"/>
    <w:rsid w:val="000F435A"/>
    <w:rsid w:val="00101D42"/>
    <w:rsid w:val="00102F58"/>
    <w:rsid w:val="0010476F"/>
    <w:rsid w:val="0011342C"/>
    <w:rsid w:val="001148B5"/>
    <w:rsid w:val="001170F1"/>
    <w:rsid w:val="00121F9C"/>
    <w:rsid w:val="00126DBE"/>
    <w:rsid w:val="001338BA"/>
    <w:rsid w:val="00142600"/>
    <w:rsid w:val="00157817"/>
    <w:rsid w:val="00157D4C"/>
    <w:rsid w:val="00166B91"/>
    <w:rsid w:val="00172535"/>
    <w:rsid w:val="00176578"/>
    <w:rsid w:val="00183CF7"/>
    <w:rsid w:val="001840A3"/>
    <w:rsid w:val="001919D6"/>
    <w:rsid w:val="00192502"/>
    <w:rsid w:val="0019610D"/>
    <w:rsid w:val="001A7174"/>
    <w:rsid w:val="001B2B56"/>
    <w:rsid w:val="001B2B5D"/>
    <w:rsid w:val="001B7999"/>
    <w:rsid w:val="001B7EA8"/>
    <w:rsid w:val="001C1876"/>
    <w:rsid w:val="001E36BD"/>
    <w:rsid w:val="001F05C7"/>
    <w:rsid w:val="001F14B9"/>
    <w:rsid w:val="00210952"/>
    <w:rsid w:val="0021140B"/>
    <w:rsid w:val="00220657"/>
    <w:rsid w:val="00225D41"/>
    <w:rsid w:val="002533D5"/>
    <w:rsid w:val="002734F3"/>
    <w:rsid w:val="0028154B"/>
    <w:rsid w:val="002914A1"/>
    <w:rsid w:val="0029757E"/>
    <w:rsid w:val="002A32F6"/>
    <w:rsid w:val="002B7807"/>
    <w:rsid w:val="002B785F"/>
    <w:rsid w:val="002C2224"/>
    <w:rsid w:val="002C559D"/>
    <w:rsid w:val="002D0FA3"/>
    <w:rsid w:val="002D1B99"/>
    <w:rsid w:val="002D3DBC"/>
    <w:rsid w:val="00302E27"/>
    <w:rsid w:val="00307371"/>
    <w:rsid w:val="0031285F"/>
    <w:rsid w:val="00315BDB"/>
    <w:rsid w:val="00323616"/>
    <w:rsid w:val="00334B86"/>
    <w:rsid w:val="00342D93"/>
    <w:rsid w:val="00362702"/>
    <w:rsid w:val="003648D8"/>
    <w:rsid w:val="00382F0D"/>
    <w:rsid w:val="0038469A"/>
    <w:rsid w:val="0038619E"/>
    <w:rsid w:val="0038748F"/>
    <w:rsid w:val="003C28EF"/>
    <w:rsid w:val="003C2DC8"/>
    <w:rsid w:val="003D6978"/>
    <w:rsid w:val="003E143E"/>
    <w:rsid w:val="003E171D"/>
    <w:rsid w:val="003E435C"/>
    <w:rsid w:val="003F1315"/>
    <w:rsid w:val="003F1DD6"/>
    <w:rsid w:val="00400A92"/>
    <w:rsid w:val="0040481C"/>
    <w:rsid w:val="00407D06"/>
    <w:rsid w:val="00407E79"/>
    <w:rsid w:val="00410EAB"/>
    <w:rsid w:val="004122E6"/>
    <w:rsid w:val="0041769C"/>
    <w:rsid w:val="00417EA6"/>
    <w:rsid w:val="0042063D"/>
    <w:rsid w:val="00426E64"/>
    <w:rsid w:val="00431670"/>
    <w:rsid w:val="004413F7"/>
    <w:rsid w:val="004438A0"/>
    <w:rsid w:val="00454BBF"/>
    <w:rsid w:val="00466CEE"/>
    <w:rsid w:val="00473731"/>
    <w:rsid w:val="00480E9A"/>
    <w:rsid w:val="00484D16"/>
    <w:rsid w:val="00495A68"/>
    <w:rsid w:val="00496C17"/>
    <w:rsid w:val="004A3C2B"/>
    <w:rsid w:val="004A4802"/>
    <w:rsid w:val="004A5BEB"/>
    <w:rsid w:val="004B0F4E"/>
    <w:rsid w:val="004C70E3"/>
    <w:rsid w:val="004D1DEE"/>
    <w:rsid w:val="004D2209"/>
    <w:rsid w:val="004D4E1B"/>
    <w:rsid w:val="004E7378"/>
    <w:rsid w:val="004E74DA"/>
    <w:rsid w:val="00501590"/>
    <w:rsid w:val="00522398"/>
    <w:rsid w:val="00523D35"/>
    <w:rsid w:val="00527DFC"/>
    <w:rsid w:val="00533C38"/>
    <w:rsid w:val="00541E16"/>
    <w:rsid w:val="00542AC9"/>
    <w:rsid w:val="00544182"/>
    <w:rsid w:val="00545BDD"/>
    <w:rsid w:val="0054663B"/>
    <w:rsid w:val="00557C4E"/>
    <w:rsid w:val="005610CE"/>
    <w:rsid w:val="005651FF"/>
    <w:rsid w:val="00572545"/>
    <w:rsid w:val="005747A7"/>
    <w:rsid w:val="0058619B"/>
    <w:rsid w:val="00590C3B"/>
    <w:rsid w:val="00595F6A"/>
    <w:rsid w:val="005A2560"/>
    <w:rsid w:val="005A25D0"/>
    <w:rsid w:val="005A66BB"/>
    <w:rsid w:val="005A6CCC"/>
    <w:rsid w:val="005B74D2"/>
    <w:rsid w:val="005E09D5"/>
    <w:rsid w:val="005E0DFB"/>
    <w:rsid w:val="005E128B"/>
    <w:rsid w:val="005E2F8B"/>
    <w:rsid w:val="005E6D3E"/>
    <w:rsid w:val="005F2548"/>
    <w:rsid w:val="005F59F2"/>
    <w:rsid w:val="005F7B80"/>
    <w:rsid w:val="006138EE"/>
    <w:rsid w:val="00614C54"/>
    <w:rsid w:val="00615365"/>
    <w:rsid w:val="00617629"/>
    <w:rsid w:val="00617649"/>
    <w:rsid w:val="00617E88"/>
    <w:rsid w:val="00630F4E"/>
    <w:rsid w:val="006335B8"/>
    <w:rsid w:val="00642D84"/>
    <w:rsid w:val="00671AC9"/>
    <w:rsid w:val="00674B26"/>
    <w:rsid w:val="006765F2"/>
    <w:rsid w:val="006819D9"/>
    <w:rsid w:val="00682A59"/>
    <w:rsid w:val="006874F7"/>
    <w:rsid w:val="0069525B"/>
    <w:rsid w:val="006A34A3"/>
    <w:rsid w:val="006D3933"/>
    <w:rsid w:val="006D4C8B"/>
    <w:rsid w:val="006D5B2D"/>
    <w:rsid w:val="006E0961"/>
    <w:rsid w:val="006F764A"/>
    <w:rsid w:val="006F7B8A"/>
    <w:rsid w:val="00731DF6"/>
    <w:rsid w:val="00733D25"/>
    <w:rsid w:val="00737AD6"/>
    <w:rsid w:val="007548A7"/>
    <w:rsid w:val="00763753"/>
    <w:rsid w:val="00763BD6"/>
    <w:rsid w:val="007641F6"/>
    <w:rsid w:val="00764A70"/>
    <w:rsid w:val="00771BAF"/>
    <w:rsid w:val="00785CF1"/>
    <w:rsid w:val="00792443"/>
    <w:rsid w:val="0079385F"/>
    <w:rsid w:val="007A28B8"/>
    <w:rsid w:val="007C7D68"/>
    <w:rsid w:val="007D3AEB"/>
    <w:rsid w:val="00814543"/>
    <w:rsid w:val="00827B02"/>
    <w:rsid w:val="00840613"/>
    <w:rsid w:val="008542B4"/>
    <w:rsid w:val="00855688"/>
    <w:rsid w:val="008577C6"/>
    <w:rsid w:val="00890F5E"/>
    <w:rsid w:val="008912B2"/>
    <w:rsid w:val="008B062E"/>
    <w:rsid w:val="008B4028"/>
    <w:rsid w:val="008D2DBD"/>
    <w:rsid w:val="008F404E"/>
    <w:rsid w:val="00933004"/>
    <w:rsid w:val="009342F2"/>
    <w:rsid w:val="00953BF3"/>
    <w:rsid w:val="0096336F"/>
    <w:rsid w:val="00967E59"/>
    <w:rsid w:val="00992A6E"/>
    <w:rsid w:val="009A711B"/>
    <w:rsid w:val="009B0F40"/>
    <w:rsid w:val="009B10C7"/>
    <w:rsid w:val="009D1B2E"/>
    <w:rsid w:val="009E6883"/>
    <w:rsid w:val="009F15E0"/>
    <w:rsid w:val="00A009BF"/>
    <w:rsid w:val="00A029CE"/>
    <w:rsid w:val="00A15EFE"/>
    <w:rsid w:val="00A20028"/>
    <w:rsid w:val="00A22169"/>
    <w:rsid w:val="00A405AA"/>
    <w:rsid w:val="00A51D64"/>
    <w:rsid w:val="00A54B8A"/>
    <w:rsid w:val="00A57542"/>
    <w:rsid w:val="00A62BA1"/>
    <w:rsid w:val="00A8197B"/>
    <w:rsid w:val="00A82654"/>
    <w:rsid w:val="00AB79B6"/>
    <w:rsid w:val="00AD1271"/>
    <w:rsid w:val="00AD20E5"/>
    <w:rsid w:val="00AD7F63"/>
    <w:rsid w:val="00AE606F"/>
    <w:rsid w:val="00B072EB"/>
    <w:rsid w:val="00B15225"/>
    <w:rsid w:val="00B25109"/>
    <w:rsid w:val="00B33573"/>
    <w:rsid w:val="00B367C3"/>
    <w:rsid w:val="00B4763A"/>
    <w:rsid w:val="00B508E7"/>
    <w:rsid w:val="00B57564"/>
    <w:rsid w:val="00B62FFD"/>
    <w:rsid w:val="00B6504A"/>
    <w:rsid w:val="00B65F0C"/>
    <w:rsid w:val="00B7439D"/>
    <w:rsid w:val="00B82A2C"/>
    <w:rsid w:val="00B83DA2"/>
    <w:rsid w:val="00B91335"/>
    <w:rsid w:val="00B920E5"/>
    <w:rsid w:val="00B945CF"/>
    <w:rsid w:val="00B96A8C"/>
    <w:rsid w:val="00B97423"/>
    <w:rsid w:val="00BA3066"/>
    <w:rsid w:val="00BA37E1"/>
    <w:rsid w:val="00BC27DC"/>
    <w:rsid w:val="00BC2C47"/>
    <w:rsid w:val="00BC5DCA"/>
    <w:rsid w:val="00BC6331"/>
    <w:rsid w:val="00BF0C8F"/>
    <w:rsid w:val="00BF15DE"/>
    <w:rsid w:val="00BF2610"/>
    <w:rsid w:val="00C00CD9"/>
    <w:rsid w:val="00C206B6"/>
    <w:rsid w:val="00C35CA6"/>
    <w:rsid w:val="00C408F8"/>
    <w:rsid w:val="00C457D4"/>
    <w:rsid w:val="00C50DC5"/>
    <w:rsid w:val="00C610B7"/>
    <w:rsid w:val="00C705B5"/>
    <w:rsid w:val="00C73289"/>
    <w:rsid w:val="00C76799"/>
    <w:rsid w:val="00C84DE1"/>
    <w:rsid w:val="00C95A7C"/>
    <w:rsid w:val="00CA734A"/>
    <w:rsid w:val="00CB6FEF"/>
    <w:rsid w:val="00CC27A9"/>
    <w:rsid w:val="00CC2CF9"/>
    <w:rsid w:val="00CD27EE"/>
    <w:rsid w:val="00CE5AA5"/>
    <w:rsid w:val="00CE65B4"/>
    <w:rsid w:val="00CF6DA2"/>
    <w:rsid w:val="00D0283D"/>
    <w:rsid w:val="00D12396"/>
    <w:rsid w:val="00D1461E"/>
    <w:rsid w:val="00D20784"/>
    <w:rsid w:val="00D2260C"/>
    <w:rsid w:val="00D25191"/>
    <w:rsid w:val="00D258B9"/>
    <w:rsid w:val="00D53E37"/>
    <w:rsid w:val="00D61DA6"/>
    <w:rsid w:val="00D81A6D"/>
    <w:rsid w:val="00D95D63"/>
    <w:rsid w:val="00DA6D03"/>
    <w:rsid w:val="00DB4B02"/>
    <w:rsid w:val="00DB576E"/>
    <w:rsid w:val="00DC024C"/>
    <w:rsid w:val="00DD5820"/>
    <w:rsid w:val="00E201CC"/>
    <w:rsid w:val="00E225D8"/>
    <w:rsid w:val="00E24008"/>
    <w:rsid w:val="00E327E1"/>
    <w:rsid w:val="00E36443"/>
    <w:rsid w:val="00E37F44"/>
    <w:rsid w:val="00E43F0C"/>
    <w:rsid w:val="00E659C8"/>
    <w:rsid w:val="00E73027"/>
    <w:rsid w:val="00E93F02"/>
    <w:rsid w:val="00EA4F77"/>
    <w:rsid w:val="00EA59F5"/>
    <w:rsid w:val="00EC2F22"/>
    <w:rsid w:val="00EC3D46"/>
    <w:rsid w:val="00EC4136"/>
    <w:rsid w:val="00ED0822"/>
    <w:rsid w:val="00ED5A72"/>
    <w:rsid w:val="00ED6B42"/>
    <w:rsid w:val="00ED7A7D"/>
    <w:rsid w:val="00EF2D40"/>
    <w:rsid w:val="00EF2DD8"/>
    <w:rsid w:val="00EF78BE"/>
    <w:rsid w:val="00F011B1"/>
    <w:rsid w:val="00F17741"/>
    <w:rsid w:val="00F44113"/>
    <w:rsid w:val="00F441FD"/>
    <w:rsid w:val="00F45C26"/>
    <w:rsid w:val="00F5053F"/>
    <w:rsid w:val="00F51F23"/>
    <w:rsid w:val="00F53F85"/>
    <w:rsid w:val="00F5788E"/>
    <w:rsid w:val="00F612F7"/>
    <w:rsid w:val="00F61C2D"/>
    <w:rsid w:val="00F72A14"/>
    <w:rsid w:val="00F73249"/>
    <w:rsid w:val="00F8550F"/>
    <w:rsid w:val="00F930B1"/>
    <w:rsid w:val="00FA145A"/>
    <w:rsid w:val="00FB0B42"/>
    <w:rsid w:val="00FB287D"/>
    <w:rsid w:val="00FB4B18"/>
    <w:rsid w:val="00FB5F2E"/>
    <w:rsid w:val="00FC6DE7"/>
    <w:rsid w:val="00FD5B6E"/>
    <w:rsid w:val="00FD7AE5"/>
    <w:rsid w:val="00FE5C85"/>
    <w:rsid w:val="00FE7BD8"/>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BA1"/>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gibraltar-virtual-assets-regulation/" TargetMode="External"/><Relationship Id="rId13" Type="http://schemas.openxmlformats.org/officeDocument/2006/relationships/hyperlink" Target="https://www.gibraltarlaws.gov.gi/legislations/proceeds-of-crime-act-2015-transfer-of-virtual-assets-regulations-2021-6003/download" TargetMode="External"/><Relationship Id="rId18" Type="http://schemas.openxmlformats.org/officeDocument/2006/relationships/hyperlink" Target="https://www.gibnew.te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gibraltar.gov.gi/new/sites/default/files/HMGoG_Documents/gambling%20ord%202005.pdf" TargetMode="External"/><Relationship Id="rId7" Type="http://schemas.openxmlformats.org/officeDocument/2006/relationships/endnotes" Target="endnotes.xml"/><Relationship Id="rId12" Type="http://schemas.openxmlformats.org/officeDocument/2006/relationships/hyperlink" Target="https://www.gibraltarlaws.gov.gi/legislations/proceeds-of-crime-act-2015-transfer-of-virtual-assets-regulations-2021-6003/download" TargetMode="External"/><Relationship Id="rId17" Type="http://schemas.openxmlformats.org/officeDocument/2006/relationships/hyperlink" Target="https://www.gibraltarlaws.gov.gi/index.php/legislations/proceeds-of-crime-and-terrorism-amendment-act-2019-452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ibraltarlaws.gov.gi/legislations/financial-services-distributed-ledger-technology-providers-regulations-2020-4774" TargetMode="External"/><Relationship Id="rId20" Type="http://schemas.openxmlformats.org/officeDocument/2006/relationships/hyperlink" Target="https://www.gibraltarlaws.gov.gi/legislations/financial-services-investment-and-fiduciary-services-act-509"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en/home.html" TargetMode="External"/><Relationship Id="rId24" Type="http://schemas.openxmlformats.org/officeDocument/2006/relationships/hyperlink" Target="https://insolvency-insider.co.uk/p/miracle-world-ventures-limited-liquidat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sc.gi/FSC/distributed-ledger-technology-providers" TargetMode="External"/><Relationship Id="rId23" Type="http://schemas.openxmlformats.org/officeDocument/2006/relationships/hyperlink" Target="https://www.offshorealert.com/gibraltar-accountant-karel-manasco-has-assets-frozen-for-allegedly-swindling-former-employer-mansion-online-gaming-group/" TargetMode="External"/><Relationship Id="rId28" Type="http://schemas.openxmlformats.org/officeDocument/2006/relationships/footer" Target="footer2.xml"/><Relationship Id="rId10" Type="http://schemas.openxmlformats.org/officeDocument/2006/relationships/hyperlink" Target="https://www.gibraltarlaws.gov.gi/legislations/financial-services-act-2019-4690" TargetMode="External"/><Relationship Id="rId19" Type="http://schemas.openxmlformats.org/officeDocument/2006/relationships/hyperlink" Target="https://www.gibraltarlaws.gov.gi/legislations/proceeds-of-crime-act-2015-transfer-of-virtual-assets-regulations-2021-6003/downloa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sc.gi/" TargetMode="External"/><Relationship Id="rId14" Type="http://schemas.openxmlformats.org/officeDocument/2006/relationships/hyperlink" Target="https://www.gibraltarfinance.gi/technology/distributed-ledger-technology" TargetMode="External"/><Relationship Id="rId22" Type="http://schemas.openxmlformats.org/officeDocument/2006/relationships/hyperlink" Target="https://www.globaleconomyedition.com/gibraltar-court-freezes-crypto-assets-in-hunt-for-missing-43m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116</cp:revision>
  <dcterms:created xsi:type="dcterms:W3CDTF">2024-08-04T23:12:00Z</dcterms:created>
  <dcterms:modified xsi:type="dcterms:W3CDTF">2024-08-28T01:08:00Z</dcterms:modified>
</cp:coreProperties>
</file>