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131122C0"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21140B">
        <w:rPr>
          <w:rFonts w:ascii="Arial" w:eastAsia="Cambria" w:hAnsi="Arial" w:cs="Arial"/>
          <w:color w:val="FFFFFF"/>
          <w:lang w:val="en-GB"/>
        </w:rPr>
        <w:t>Crypto Guide</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DD2CD2">
        <w:rPr>
          <w:rFonts w:ascii="Arial" w:eastAsia="Cambria" w:hAnsi="Arial" w:cs="Arial"/>
          <w:color w:val="FFFFFF"/>
        </w:rPr>
        <w:t>Abu Dhabi</w:t>
      </w:r>
      <w:r w:rsidR="008A7848" w:rsidRPr="008A7848">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851684">
        <w:rPr>
          <w:rFonts w:ascii="Arial" w:eastAsia="Cambria" w:hAnsi="Arial" w:cs="Arial"/>
          <w:color w:val="FFFFFF"/>
          <w:lang w:val="en-GB"/>
        </w:rPr>
        <w:t>Sep</w:t>
      </w:r>
      <w:r w:rsidR="00C53E34" w:rsidRPr="00C53E34">
        <w:rPr>
          <w:rFonts w:ascii="Arial" w:eastAsia="Cambria" w:hAnsi="Arial" w:cs="Arial"/>
          <w:color w:val="FFFFFF"/>
          <w:lang w:val="en-GB"/>
        </w:rPr>
        <w:t xml:space="preserve"> </w:t>
      </w:r>
      <w:r w:rsidR="00A405AA">
        <w:rPr>
          <w:rFonts w:ascii="Arial" w:eastAsia="Cambria" w:hAnsi="Arial" w:cs="Arial"/>
          <w:color w:val="FFFFFF"/>
          <w:lang w:val="en-GB"/>
        </w:rPr>
        <w:t>2024</w:t>
      </w:r>
    </w:p>
    <w:p w14:paraId="5EF4FE96" w14:textId="4FB8DC9B" w:rsidR="00B4763A" w:rsidRDefault="00B4763A" w:rsidP="00B4763A">
      <w:pPr>
        <w:spacing w:after="200"/>
        <w:jc w:val="center"/>
        <w:rPr>
          <w:rStyle w:val="Hyperlink"/>
          <w:rFonts w:ascii="Arial" w:eastAsia="Cambria" w:hAnsi="Arial" w:cs="Arial"/>
          <w:sz w:val="28"/>
          <w:szCs w:val="24"/>
          <w:lang w:val="en-GB"/>
        </w:rPr>
      </w:pPr>
      <w:hyperlink r:id="rId8" w:history="1">
        <w:r w:rsidRPr="00251DF1">
          <w:rPr>
            <w:rStyle w:val="Hyperlink"/>
            <w:rFonts w:ascii="Arial" w:eastAsia="Cambria" w:hAnsi="Arial" w:cs="Arial"/>
            <w:sz w:val="28"/>
            <w:szCs w:val="24"/>
            <w:lang w:val="en-GB"/>
          </w:rPr>
          <w:t>Online version</w:t>
        </w:r>
      </w:hyperlink>
    </w:p>
    <w:p w14:paraId="056050EA" w14:textId="77777777" w:rsidR="009E6883" w:rsidRDefault="009E6883" w:rsidP="0031285F">
      <w:pPr>
        <w:spacing w:after="200"/>
        <w:rPr>
          <w:b/>
          <w:bCs/>
          <w:color w:val="FF6E00"/>
          <w:lang w:val="en-PH"/>
        </w:rPr>
      </w:pPr>
    </w:p>
    <w:p w14:paraId="3A3C558C" w14:textId="2B6B214E" w:rsidR="009E6883" w:rsidRDefault="009E6883" w:rsidP="0031285F">
      <w:pPr>
        <w:spacing w:after="200"/>
        <w:rPr>
          <w:b/>
          <w:bCs/>
          <w:color w:val="FF6E00"/>
          <w:lang w:val="en-PH"/>
        </w:rPr>
      </w:pPr>
    </w:p>
    <w:p w14:paraId="730589DB" w14:textId="77777777" w:rsidR="009E6883" w:rsidRDefault="009E6883" w:rsidP="00B920E5">
      <w:pPr>
        <w:jc w:val="both"/>
        <w:rPr>
          <w:b/>
          <w:bCs/>
          <w:color w:val="FF6E00"/>
        </w:rPr>
      </w:pPr>
    </w:p>
    <w:p w14:paraId="62C2FA7C" w14:textId="3940D750" w:rsidR="009E6883" w:rsidRDefault="009E6883" w:rsidP="00B920E5">
      <w:pPr>
        <w:jc w:val="both"/>
        <w:rPr>
          <w:b/>
          <w:bCs/>
          <w:color w:val="FF6E00"/>
        </w:rPr>
      </w:pPr>
    </w:p>
    <w:p w14:paraId="28DFF93A" w14:textId="77777777" w:rsidR="009E6883" w:rsidRDefault="009E6883" w:rsidP="00B920E5">
      <w:pPr>
        <w:jc w:val="both"/>
        <w:rPr>
          <w:b/>
          <w:bCs/>
          <w:color w:val="FF6E00"/>
        </w:rPr>
      </w:pPr>
    </w:p>
    <w:p w14:paraId="5AB34768" w14:textId="71A0D3B2" w:rsidR="009E6883" w:rsidRDefault="009E6883" w:rsidP="00B920E5">
      <w:pPr>
        <w:jc w:val="both"/>
        <w:rPr>
          <w:b/>
          <w:bCs/>
          <w:color w:val="FF6E00"/>
        </w:rPr>
      </w:pPr>
    </w:p>
    <w:p w14:paraId="39CA244B" w14:textId="77777777" w:rsidR="009E6883" w:rsidRDefault="009E6883" w:rsidP="00B920E5">
      <w:pPr>
        <w:jc w:val="both"/>
        <w:rPr>
          <w:b/>
          <w:bCs/>
          <w:color w:val="FF6E00"/>
        </w:rPr>
      </w:pPr>
    </w:p>
    <w:p w14:paraId="7F08F6B6" w14:textId="77777777" w:rsidR="009E6883" w:rsidRDefault="009E6883" w:rsidP="00B920E5">
      <w:pPr>
        <w:jc w:val="both"/>
        <w:rPr>
          <w:b/>
          <w:bCs/>
          <w:color w:val="FF6E00"/>
        </w:rPr>
      </w:pPr>
    </w:p>
    <w:p w14:paraId="590AAC6E" w14:textId="41E636DF" w:rsidR="009E6883" w:rsidRDefault="00851684" w:rsidP="00B920E5">
      <w:pPr>
        <w:jc w:val="both"/>
        <w:rPr>
          <w:b/>
          <w:bCs/>
          <w:color w:val="FF6E00"/>
        </w:rPr>
      </w:pPr>
      <w:r>
        <w:rPr>
          <w:b/>
          <w:bCs/>
          <w:noProof/>
          <w:color w:val="FF6E00"/>
        </w:rPr>
        <mc:AlternateContent>
          <mc:Choice Requires="wps">
            <w:drawing>
              <wp:anchor distT="0" distB="0" distL="114300" distR="114300" simplePos="0" relativeHeight="251659264" behindDoc="0" locked="0" layoutInCell="1" allowOverlap="1" wp14:anchorId="7B0A4561" wp14:editId="44B859EE">
                <wp:simplePos x="0" y="0"/>
                <wp:positionH relativeFrom="margin">
                  <wp:posOffset>-190500</wp:posOffset>
                </wp:positionH>
                <wp:positionV relativeFrom="margin">
                  <wp:posOffset>3175000</wp:posOffset>
                </wp:positionV>
                <wp:extent cx="6324600" cy="2419350"/>
                <wp:effectExtent l="0" t="0" r="0" b="0"/>
                <wp:wrapNone/>
                <wp:docPr id="1380371415" name="Text Box 1"/>
                <wp:cNvGraphicFramePr/>
                <a:graphic xmlns:a="http://schemas.openxmlformats.org/drawingml/2006/main">
                  <a:graphicData uri="http://schemas.microsoft.com/office/word/2010/wordprocessingShape">
                    <wps:wsp>
                      <wps:cNvSpPr txBox="1"/>
                      <wps:spPr>
                        <a:xfrm>
                          <a:off x="0" y="0"/>
                          <a:ext cx="6324600" cy="2419350"/>
                        </a:xfrm>
                        <a:prstGeom prst="rect">
                          <a:avLst/>
                        </a:prstGeom>
                        <a:solidFill>
                          <a:schemeClr val="lt1"/>
                        </a:solidFill>
                        <a:ln w="6350">
                          <a:noFill/>
                        </a:ln>
                      </wps:spPr>
                      <wps:txbx>
                        <w:txbxContent>
                          <w:p w14:paraId="0E479721" w14:textId="1778727A"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00851684">
                              <w:rPr>
                                <w:b/>
                                <w:bCs/>
                                <w:color w:val="FF6E00"/>
                                <w:sz w:val="72"/>
                                <w:szCs w:val="72"/>
                              </w:rPr>
                              <w:t xml:space="preserve">in </w:t>
                            </w:r>
                            <w:r w:rsidR="00DD2CD2">
                              <w:rPr>
                                <w:b/>
                                <w:bCs/>
                                <w:color w:val="FF6E00"/>
                                <w:sz w:val="72"/>
                                <w:szCs w:val="72"/>
                              </w:rPr>
                              <w:t>Abu Dhabi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15pt;margin-top:250pt;width:498pt;height:190.5pt;z-index:25165926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" fillcolor="white [3201]" stroked="f" strokeweight=".5pt">
                <v:textbox>
                  <w:txbxContent>
                    <w:p w14:paraId="0E479721" w14:textId="1778727A"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00851684">
                        <w:rPr>
                          <w:b/>
                          <w:bCs/>
                          <w:color w:val="FF6E00"/>
                          <w:sz w:val="72"/>
                          <w:szCs w:val="72"/>
                        </w:rPr>
                        <w:t xml:space="preserve">in </w:t>
                      </w:r>
                      <w:r w:rsidR="00DD2CD2">
                        <w:rPr>
                          <w:b/>
                          <w:bCs/>
                          <w:color w:val="FF6E00"/>
                          <w:sz w:val="72"/>
                          <w:szCs w:val="72"/>
                        </w:rPr>
                        <w:t>Abu Dhabi</w:t>
                      </w:r>
                    </w:p>
                  </w:txbxContent>
                </v:textbox>
                <w10:wrap anchorx="margin" anchory="margin"/>
              </v:shape>
            </w:pict>
          </mc:Fallback>
        </mc:AlternateContent>
      </w:r>
    </w:p>
    <w:p w14:paraId="71356FF5" w14:textId="77777777" w:rsidR="009E6883" w:rsidRDefault="009E6883" w:rsidP="00B920E5">
      <w:pPr>
        <w:jc w:val="both"/>
        <w:rPr>
          <w:b/>
          <w:bCs/>
          <w:color w:val="FF6E00"/>
        </w:rPr>
      </w:pPr>
    </w:p>
    <w:p w14:paraId="00FC6A0C" w14:textId="77777777" w:rsidR="009E6883" w:rsidRDefault="009E6883" w:rsidP="00B920E5">
      <w:pPr>
        <w:jc w:val="both"/>
        <w:rPr>
          <w:b/>
          <w:bCs/>
          <w:color w:val="FF6E00"/>
        </w:rPr>
      </w:pPr>
    </w:p>
    <w:p w14:paraId="4BB0EC71" w14:textId="77777777" w:rsidR="009E6883" w:rsidRDefault="009E6883" w:rsidP="00B920E5">
      <w:pPr>
        <w:jc w:val="both"/>
        <w:rPr>
          <w:b/>
          <w:bCs/>
          <w:color w:val="FF6E00"/>
        </w:rPr>
      </w:pPr>
    </w:p>
    <w:p w14:paraId="0273DDE2" w14:textId="77777777" w:rsidR="009E6883" w:rsidRDefault="009E6883" w:rsidP="00B920E5">
      <w:pPr>
        <w:jc w:val="both"/>
        <w:rPr>
          <w:b/>
          <w:bCs/>
          <w:color w:val="FF6E00"/>
        </w:rPr>
      </w:pPr>
    </w:p>
    <w:p w14:paraId="3BF21141" w14:textId="77777777" w:rsidR="009E6883" w:rsidRDefault="009E6883" w:rsidP="00B920E5">
      <w:pPr>
        <w:jc w:val="both"/>
        <w:rPr>
          <w:b/>
          <w:bCs/>
          <w:color w:val="FF6E00"/>
        </w:rPr>
      </w:pPr>
    </w:p>
    <w:p w14:paraId="436D86E8" w14:textId="77777777" w:rsidR="009E6883" w:rsidRDefault="009E6883" w:rsidP="00B920E5">
      <w:pPr>
        <w:jc w:val="both"/>
        <w:rPr>
          <w:b/>
          <w:bCs/>
          <w:color w:val="FF6E00"/>
        </w:rPr>
      </w:pPr>
    </w:p>
    <w:p w14:paraId="5519E349" w14:textId="77777777" w:rsidR="009E6883" w:rsidRDefault="009E6883" w:rsidP="00B920E5">
      <w:pPr>
        <w:jc w:val="both"/>
        <w:rPr>
          <w:b/>
          <w:bCs/>
          <w:color w:val="FF6E00"/>
        </w:rPr>
      </w:pPr>
    </w:p>
    <w:p w14:paraId="4596D8BE" w14:textId="77777777" w:rsidR="009E6883" w:rsidRDefault="009E6883" w:rsidP="00B920E5">
      <w:pPr>
        <w:jc w:val="both"/>
        <w:rPr>
          <w:b/>
          <w:bCs/>
          <w:color w:val="FF6E00"/>
        </w:rPr>
      </w:pPr>
    </w:p>
    <w:p w14:paraId="4189D162" w14:textId="77777777" w:rsidR="009E6883" w:rsidRDefault="009E6883" w:rsidP="00B920E5">
      <w:pPr>
        <w:jc w:val="both"/>
        <w:rPr>
          <w:b/>
          <w:bCs/>
          <w:color w:val="FF6E00"/>
        </w:rPr>
      </w:pPr>
    </w:p>
    <w:p w14:paraId="2E7DB8A5" w14:textId="77777777" w:rsidR="009E6883" w:rsidRDefault="009E6883" w:rsidP="00B920E5">
      <w:pPr>
        <w:jc w:val="both"/>
        <w:rPr>
          <w:b/>
          <w:bCs/>
          <w:color w:val="FF6E00"/>
        </w:rPr>
      </w:pPr>
    </w:p>
    <w:p w14:paraId="24D78D57" w14:textId="77777777" w:rsidR="009E6883" w:rsidRDefault="009E6883" w:rsidP="00B920E5">
      <w:pPr>
        <w:jc w:val="both"/>
        <w:rPr>
          <w:b/>
          <w:bCs/>
          <w:color w:val="FF6E00"/>
        </w:rPr>
      </w:pPr>
    </w:p>
    <w:p w14:paraId="0AA2E039" w14:textId="77777777" w:rsidR="009E6883" w:rsidRDefault="009E6883" w:rsidP="00B920E5">
      <w:pPr>
        <w:jc w:val="both"/>
        <w:rPr>
          <w:b/>
          <w:bCs/>
          <w:color w:val="FF6E00"/>
        </w:rPr>
      </w:pPr>
    </w:p>
    <w:p w14:paraId="550462EE" w14:textId="77777777" w:rsidR="009E6883" w:rsidRDefault="009E6883" w:rsidP="00B920E5">
      <w:pPr>
        <w:jc w:val="both"/>
        <w:rPr>
          <w:b/>
          <w:bCs/>
          <w:color w:val="FF6E00"/>
        </w:rPr>
      </w:pPr>
    </w:p>
    <w:p w14:paraId="4D571C66" w14:textId="77777777" w:rsidR="009E6883" w:rsidRDefault="009E6883" w:rsidP="00B920E5">
      <w:pPr>
        <w:jc w:val="both"/>
        <w:rPr>
          <w:b/>
          <w:bCs/>
          <w:color w:val="FF6E00"/>
        </w:rPr>
      </w:pPr>
    </w:p>
    <w:p w14:paraId="0ECF3581" w14:textId="77777777" w:rsidR="009E6883" w:rsidRDefault="009E6883" w:rsidP="00B920E5">
      <w:pPr>
        <w:jc w:val="both"/>
        <w:rPr>
          <w:b/>
          <w:bCs/>
          <w:color w:val="FF6E00"/>
        </w:rPr>
      </w:pPr>
    </w:p>
    <w:p w14:paraId="5DDDD358" w14:textId="77777777" w:rsidR="009E6883" w:rsidRDefault="009E6883" w:rsidP="00B920E5">
      <w:pPr>
        <w:jc w:val="both"/>
        <w:rPr>
          <w:b/>
          <w:bCs/>
          <w:color w:val="FF6E00"/>
        </w:rPr>
      </w:pPr>
    </w:p>
    <w:p w14:paraId="5B87FD9B" w14:textId="77777777" w:rsidR="009E6883" w:rsidRDefault="009E6883" w:rsidP="00DB4B02">
      <w:pPr>
        <w:jc w:val="both"/>
        <w:rPr>
          <w:b/>
          <w:bCs/>
          <w:color w:val="FF6E00"/>
        </w:rPr>
      </w:pPr>
    </w:p>
    <w:p w14:paraId="0B3D8CDB" w14:textId="6B0B72C3" w:rsidR="009E6883" w:rsidRPr="00644B77" w:rsidRDefault="009E6883" w:rsidP="006E6457">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lastRenderedPageBreak/>
        <w:t xml:space="preserve">Virtual asset laws and regulations </w:t>
      </w:r>
      <w:r w:rsidR="00DD2CD2">
        <w:rPr>
          <w:rFonts w:eastAsia="Times New Roman" w:cstheme="minorHAnsi"/>
          <w:b/>
          <w:lang w:val="en-SG"/>
        </w:rPr>
        <w:t>in Abu Dhabi</w:t>
      </w:r>
    </w:p>
    <w:p w14:paraId="322FD324" w14:textId="77777777" w:rsidR="00627DB1" w:rsidRPr="00644B77" w:rsidRDefault="00627DB1" w:rsidP="006E6457">
      <w:pPr>
        <w:spacing w:after="0" w:line="240" w:lineRule="auto"/>
        <w:ind w:left="360"/>
        <w:jc w:val="both"/>
        <w:rPr>
          <w:rFonts w:eastAsia="Times New Roman" w:cstheme="minorHAnsi"/>
          <w:b/>
          <w:lang w:val="en-SG"/>
        </w:rPr>
      </w:pPr>
    </w:p>
    <w:p w14:paraId="73C87D04" w14:textId="31817F7B" w:rsidR="00B36B1B" w:rsidRDefault="00313111" w:rsidP="006E6457">
      <w:pPr>
        <w:spacing w:after="0" w:line="240" w:lineRule="auto"/>
        <w:ind w:left="360"/>
        <w:jc w:val="both"/>
        <w:rPr>
          <w:rFonts w:eastAsia="Times New Roman" w:cstheme="minorHAnsi"/>
          <w:bCs/>
        </w:rPr>
      </w:pPr>
      <w:r w:rsidRPr="00313111">
        <w:rPr>
          <w:rFonts w:eastAsia="Times New Roman" w:cstheme="minorHAnsi"/>
          <w:bCs/>
        </w:rPr>
        <w:t>Abu Dhabi, as the capital of the United Arab Emirates, has actively shaped regulations for virtual assets. The regulatory framework for Abu Dhabi Global Market (</w:t>
      </w:r>
      <w:hyperlink r:id="rId9" w:history="1">
        <w:r w:rsidRPr="00313111">
          <w:rPr>
            <w:rStyle w:val="Hyperlink"/>
            <w:rFonts w:eastAsia="Times New Roman" w:cstheme="minorHAnsi"/>
            <w:b/>
            <w:bCs/>
            <w:color w:val="FF6E00"/>
            <w:u w:val="none"/>
          </w:rPr>
          <w:t>ADGM</w:t>
        </w:r>
      </w:hyperlink>
      <w:r w:rsidRPr="00313111">
        <w:rPr>
          <w:rFonts w:eastAsia="Times New Roman" w:cstheme="minorHAnsi"/>
          <w:bCs/>
        </w:rPr>
        <w:t>) is overseen by authorities such as Financial Services Regulatory Authority (</w:t>
      </w:r>
      <w:hyperlink r:id="rId10" w:history="1">
        <w:r w:rsidRPr="00313111">
          <w:rPr>
            <w:rStyle w:val="Hyperlink"/>
            <w:rFonts w:eastAsia="Times New Roman" w:cstheme="minorHAnsi"/>
            <w:b/>
            <w:bCs/>
            <w:color w:val="FF6E00"/>
            <w:u w:val="none"/>
          </w:rPr>
          <w:t>FSRA</w:t>
        </w:r>
      </w:hyperlink>
      <w:r w:rsidRPr="00313111">
        <w:rPr>
          <w:rFonts w:eastAsia="Times New Roman" w:cstheme="minorHAnsi"/>
          <w:bCs/>
        </w:rPr>
        <w:t xml:space="preserve">) and </w:t>
      </w:r>
      <w:hyperlink r:id="rId11" w:history="1">
        <w:r w:rsidRPr="00313111">
          <w:rPr>
            <w:rStyle w:val="Hyperlink"/>
            <w:rFonts w:eastAsia="Times New Roman" w:cstheme="minorHAnsi"/>
            <w:bCs/>
            <w:color w:val="FF6E00"/>
            <w:u w:val="none"/>
          </w:rPr>
          <w:t>ADGM courts</w:t>
        </w:r>
      </w:hyperlink>
      <w:r w:rsidRPr="00313111">
        <w:rPr>
          <w:rFonts w:eastAsia="Times New Roman" w:cstheme="minorHAnsi"/>
          <w:bCs/>
        </w:rPr>
        <w:t>. This overview explores everything from licensing and registration requirements to anti-money laundering laws, capital and liquidity requirements, and governance and compliance obligations, Government's approach to virtual currencies, recent regulatory developments, and other key aspects of the evolving regulatory landscape in Abu Dhabi.</w:t>
      </w:r>
    </w:p>
    <w:p w14:paraId="4846A676" w14:textId="77777777" w:rsidR="0028403B" w:rsidRPr="00644B77" w:rsidRDefault="0028403B" w:rsidP="006E6457">
      <w:pPr>
        <w:spacing w:after="0" w:line="240" w:lineRule="auto"/>
        <w:ind w:left="360"/>
        <w:jc w:val="both"/>
        <w:rPr>
          <w:rFonts w:eastAsia="Times New Roman" w:cstheme="minorHAnsi"/>
          <w:b/>
          <w:lang w:val="en-SG"/>
        </w:rPr>
      </w:pPr>
    </w:p>
    <w:p w14:paraId="7796A9CA" w14:textId="229E0DC9" w:rsidR="00734EC1" w:rsidRPr="00644B77" w:rsidRDefault="009E6883" w:rsidP="006E645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What is considered a virtual asset </w:t>
      </w:r>
      <w:r w:rsidR="00DD2CD2">
        <w:rPr>
          <w:rFonts w:eastAsia="Times New Roman" w:cstheme="minorHAnsi"/>
          <w:b/>
          <w:bCs/>
          <w:u w:val="single"/>
          <w:lang w:val="en-SG"/>
        </w:rPr>
        <w:t>in Abu Dhabi</w:t>
      </w:r>
      <w:r w:rsidRPr="00644B77">
        <w:rPr>
          <w:rFonts w:eastAsia="Times New Roman" w:cstheme="minorHAnsi"/>
          <w:b/>
          <w:bCs/>
          <w:u w:val="single"/>
          <w:lang w:val="en-SG"/>
        </w:rPr>
        <w:t>?</w:t>
      </w:r>
    </w:p>
    <w:p w14:paraId="52D7E10A" w14:textId="77777777" w:rsidR="00775445" w:rsidRPr="00644B77" w:rsidRDefault="00775445" w:rsidP="006E6457">
      <w:pPr>
        <w:spacing w:after="0" w:line="240" w:lineRule="auto"/>
        <w:ind w:left="360"/>
        <w:jc w:val="both"/>
        <w:rPr>
          <w:rFonts w:eastAsia="Times New Roman" w:cstheme="minorHAnsi"/>
          <w:b/>
          <w:bCs/>
          <w:u w:val="single"/>
          <w:lang w:val="en-SG"/>
        </w:rPr>
      </w:pPr>
    </w:p>
    <w:p w14:paraId="232C5C9B" w14:textId="7644BC2A" w:rsidR="00B36B1B" w:rsidRPr="00313111" w:rsidRDefault="00313111" w:rsidP="006E6457">
      <w:pPr>
        <w:spacing w:after="0" w:line="240" w:lineRule="auto"/>
        <w:ind w:left="360"/>
        <w:jc w:val="both"/>
        <w:rPr>
          <w:rFonts w:eastAsia="Times New Roman" w:cstheme="minorHAnsi"/>
        </w:rPr>
      </w:pPr>
      <w:r w:rsidRPr="00313111">
        <w:rPr>
          <w:rFonts w:eastAsia="Times New Roman" w:cstheme="minorHAnsi"/>
        </w:rPr>
        <w:t xml:space="preserve">In Abu Dhabi, virtual assets are treated as commodities, not automatically classified as investments or other regulated financial instruments. As commodities, virtual assets are regulated by government authority, FSRA. Virtual asset laws and regulations apply to </w:t>
      </w:r>
      <w:proofErr w:type="gramStart"/>
      <w:r w:rsidRPr="00313111">
        <w:rPr>
          <w:rFonts w:eastAsia="Times New Roman" w:cstheme="minorHAnsi"/>
        </w:rPr>
        <w:t>persons</w:t>
      </w:r>
      <w:proofErr w:type="gramEnd"/>
      <w:r w:rsidRPr="00313111">
        <w:rPr>
          <w:rFonts w:eastAsia="Times New Roman" w:cstheme="minorHAnsi"/>
        </w:rPr>
        <w:t xml:space="preserve"> running a commercial firms, financial institutions, and entities seeking to conduct an offering of digital securities. The regulatory framework requires registration with the FSRA, providing information on financial standing, management, legal structure, ownership, and a clear business plan, and adhere to asset management practices and reporting obligations.</w:t>
      </w:r>
    </w:p>
    <w:p w14:paraId="04D030AE" w14:textId="77777777" w:rsidR="0028403B" w:rsidRPr="00644B77" w:rsidRDefault="0028403B" w:rsidP="006E6457">
      <w:pPr>
        <w:spacing w:after="0" w:line="240" w:lineRule="auto"/>
        <w:jc w:val="both"/>
        <w:rPr>
          <w:rFonts w:eastAsia="Times New Roman" w:cstheme="minorHAnsi"/>
          <w:b/>
          <w:bCs/>
          <w:u w:val="single"/>
          <w:lang w:val="en-SG"/>
        </w:rPr>
      </w:pPr>
    </w:p>
    <w:p w14:paraId="4A54C168" w14:textId="54CAF61C" w:rsidR="00E538DF" w:rsidRDefault="00734EC1" w:rsidP="006E645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What are the relevant laws and regulations?</w:t>
      </w:r>
    </w:p>
    <w:p w14:paraId="6F194E93" w14:textId="77777777" w:rsidR="00B36B1B" w:rsidRDefault="00B36B1B" w:rsidP="006E6457">
      <w:pPr>
        <w:spacing w:after="0" w:line="240" w:lineRule="auto"/>
        <w:ind w:left="360"/>
        <w:jc w:val="both"/>
        <w:rPr>
          <w:rFonts w:eastAsia="Times New Roman" w:cstheme="minorHAnsi"/>
          <w:b/>
          <w:bCs/>
          <w:u w:val="single"/>
          <w:lang w:val="en-SG"/>
        </w:rPr>
      </w:pPr>
    </w:p>
    <w:p w14:paraId="74ADDAA3" w14:textId="36B1CC65" w:rsidR="00313111" w:rsidRPr="00313111" w:rsidRDefault="00313111" w:rsidP="006E6457">
      <w:pPr>
        <w:numPr>
          <w:ilvl w:val="0"/>
          <w:numId w:val="143"/>
        </w:numPr>
        <w:spacing w:after="0" w:line="240" w:lineRule="auto"/>
        <w:ind w:left="1080"/>
        <w:jc w:val="both"/>
        <w:rPr>
          <w:rFonts w:eastAsia="Times New Roman" w:cstheme="minorHAnsi"/>
        </w:rPr>
      </w:pPr>
      <w:hyperlink r:id="rId12" w:history="1">
        <w:r w:rsidRPr="008A5469">
          <w:rPr>
            <w:rStyle w:val="Hyperlink"/>
            <w:rFonts w:eastAsia="Times New Roman" w:cstheme="minorHAnsi"/>
            <w:color w:val="FF6E00"/>
          </w:rPr>
          <w:t>Law No. 4 of 2013</w:t>
        </w:r>
      </w:hyperlink>
      <w:r w:rsidRPr="00313111">
        <w:rPr>
          <w:rFonts w:eastAsia="Times New Roman" w:cstheme="minorHAnsi"/>
        </w:rPr>
        <w:t xml:space="preserve">: Concerning ADGM, established and defined Abu Dhabi as a financial free zone with independent legal personality and full legal capacity. The objectives were to promote the Emirate as a global financial center, develop its economy, and establish prospects for financial investments. </w:t>
      </w:r>
    </w:p>
    <w:p w14:paraId="4CA998C0" w14:textId="77777777" w:rsidR="00313111" w:rsidRPr="00313111" w:rsidRDefault="00313111" w:rsidP="006E6457">
      <w:pPr>
        <w:spacing w:after="0" w:line="240" w:lineRule="auto"/>
        <w:ind w:left="1080"/>
        <w:jc w:val="both"/>
        <w:rPr>
          <w:rFonts w:eastAsia="Times New Roman" w:cstheme="minorHAnsi"/>
        </w:rPr>
      </w:pPr>
    </w:p>
    <w:p w14:paraId="2155C934" w14:textId="27EDE7A9" w:rsidR="00313111" w:rsidRPr="00313111" w:rsidRDefault="00313111" w:rsidP="006E6457">
      <w:pPr>
        <w:numPr>
          <w:ilvl w:val="0"/>
          <w:numId w:val="143"/>
        </w:numPr>
        <w:spacing w:after="0" w:line="240" w:lineRule="auto"/>
        <w:ind w:left="1080"/>
        <w:jc w:val="both"/>
        <w:rPr>
          <w:rFonts w:eastAsia="Times New Roman" w:cstheme="minorHAnsi"/>
        </w:rPr>
      </w:pPr>
      <w:hyperlink r:id="rId13" w:history="1">
        <w:r w:rsidRPr="00313111">
          <w:rPr>
            <w:rStyle w:val="Hyperlink"/>
            <w:rFonts w:eastAsia="Times New Roman" w:cstheme="minorHAnsi"/>
            <w:color w:val="FF6E00"/>
          </w:rPr>
          <w:t>Schedule of Contraventions</w:t>
        </w:r>
      </w:hyperlink>
      <w:r w:rsidRPr="00313111">
        <w:rPr>
          <w:rFonts w:eastAsia="Times New Roman" w:cstheme="minorHAnsi"/>
        </w:rPr>
        <w:t>: ADGM has issued a schedule of contraventions and applicable fines in accordance with Article 23 of Abu Dhabi Law No.4 of 2013, as amended. Contraventions include engaging in financial activity without proper permit or license, failing to notify of company alterations, provision of false or misleading information, among others. The applicable fines for contraventions range from USD 150 to USD 50,000, with some exceeding that limit for certain cases.</w:t>
      </w:r>
    </w:p>
    <w:p w14:paraId="7314A65B" w14:textId="77777777" w:rsidR="00313111" w:rsidRPr="00313111" w:rsidRDefault="00313111" w:rsidP="006E6457">
      <w:pPr>
        <w:spacing w:after="0" w:line="240" w:lineRule="auto"/>
        <w:ind w:left="1080"/>
        <w:jc w:val="both"/>
        <w:rPr>
          <w:rFonts w:eastAsia="Times New Roman" w:cstheme="minorHAnsi"/>
        </w:rPr>
      </w:pPr>
    </w:p>
    <w:p w14:paraId="7A3EE26C" w14:textId="079CDD99" w:rsidR="00313111" w:rsidRPr="00313111" w:rsidRDefault="00313111" w:rsidP="006E6457">
      <w:pPr>
        <w:numPr>
          <w:ilvl w:val="0"/>
          <w:numId w:val="143"/>
        </w:numPr>
        <w:spacing w:after="0" w:line="240" w:lineRule="auto"/>
        <w:ind w:left="1080"/>
        <w:jc w:val="both"/>
        <w:rPr>
          <w:rFonts w:eastAsia="Times New Roman" w:cstheme="minorHAnsi"/>
        </w:rPr>
      </w:pPr>
      <w:hyperlink r:id="rId14" w:history="1">
        <w:proofErr w:type="gramStart"/>
        <w:r w:rsidRPr="00313111">
          <w:rPr>
            <w:rStyle w:val="Hyperlink"/>
            <w:rFonts w:eastAsia="Times New Roman" w:cstheme="minorHAnsi"/>
            <w:color w:val="FF6E00"/>
          </w:rPr>
          <w:t>The Financial</w:t>
        </w:r>
        <w:proofErr w:type="gramEnd"/>
        <w:r w:rsidRPr="00313111">
          <w:rPr>
            <w:rStyle w:val="Hyperlink"/>
            <w:rFonts w:eastAsia="Times New Roman" w:cstheme="minorHAnsi"/>
            <w:color w:val="FF6E00"/>
          </w:rPr>
          <w:t xml:space="preserve"> Services and Market Regulations, 2015</w:t>
        </w:r>
      </w:hyperlink>
      <w:r w:rsidRPr="00313111">
        <w:rPr>
          <w:rFonts w:eastAsia="Times New Roman" w:cstheme="minorHAnsi"/>
        </w:rPr>
        <w:t>: It provides a comprehensive regulatory framework that governs financial services in the ADGM. The Regulations impose various licensing and registration requirements, as well as obligations on persons involved in providing virtual asset or e-money services. These requirements and obligations include (</w:t>
      </w:r>
      <w:r w:rsidRPr="00313111">
        <w:rPr>
          <w:rFonts w:eastAsia="Times New Roman" w:cstheme="minorHAnsi"/>
          <w:b/>
          <w:bCs/>
        </w:rPr>
        <w:t>AML/CFT</w:t>
      </w:r>
      <w:r w:rsidRPr="00313111">
        <w:rPr>
          <w:rFonts w:eastAsia="Times New Roman" w:cstheme="minorHAnsi"/>
        </w:rPr>
        <w:t>), capital and liquidity requirements, and fund segregation.</w:t>
      </w:r>
    </w:p>
    <w:p w14:paraId="598142B1" w14:textId="77777777" w:rsidR="00313111" w:rsidRPr="00313111" w:rsidRDefault="00313111" w:rsidP="006E6457">
      <w:pPr>
        <w:spacing w:after="0" w:line="240" w:lineRule="auto"/>
        <w:ind w:left="1080"/>
        <w:jc w:val="both"/>
        <w:rPr>
          <w:rFonts w:eastAsia="Times New Roman" w:cstheme="minorHAnsi"/>
        </w:rPr>
      </w:pPr>
    </w:p>
    <w:p w14:paraId="4EE86B13" w14:textId="2C4FAC97" w:rsidR="00313111" w:rsidRPr="00313111" w:rsidRDefault="00313111" w:rsidP="006E6457">
      <w:pPr>
        <w:numPr>
          <w:ilvl w:val="0"/>
          <w:numId w:val="143"/>
        </w:numPr>
        <w:spacing w:after="0" w:line="240" w:lineRule="auto"/>
        <w:ind w:left="1080"/>
        <w:jc w:val="both"/>
        <w:rPr>
          <w:rFonts w:eastAsia="Times New Roman" w:cstheme="minorHAnsi"/>
        </w:rPr>
      </w:pPr>
      <w:hyperlink r:id="rId15" w:history="1">
        <w:r w:rsidRPr="00313111">
          <w:rPr>
            <w:rStyle w:val="Hyperlink"/>
            <w:rFonts w:eastAsia="Times New Roman" w:cstheme="minorHAnsi"/>
            <w:color w:val="FF6E00"/>
          </w:rPr>
          <w:t>The Financial Services and Markets (Amendment No 1) Regulations</w:t>
        </w:r>
      </w:hyperlink>
      <w:r w:rsidRPr="00313111">
        <w:rPr>
          <w:rFonts w:eastAsia="Times New Roman" w:cstheme="minorHAnsi"/>
        </w:rPr>
        <w:t xml:space="preserve"> (Issued on 12.06.2017): Introduced key changes to the Financial Services and Markets Regulations (</w:t>
      </w:r>
      <w:r w:rsidRPr="00313111">
        <w:rPr>
          <w:rFonts w:eastAsia="Times New Roman" w:cstheme="minorHAnsi"/>
          <w:b/>
          <w:bCs/>
        </w:rPr>
        <w:t>FSMR</w:t>
      </w:r>
      <w:r w:rsidRPr="00313111">
        <w:rPr>
          <w:rFonts w:eastAsia="Times New Roman" w:cstheme="minorHAnsi"/>
        </w:rPr>
        <w:t xml:space="preserve">) 2015. The amendments make agreements resulting from "Unlawful Communications" unenforceable. Authorised </w:t>
      </w:r>
      <w:proofErr w:type="gramStart"/>
      <w:r w:rsidRPr="00313111">
        <w:rPr>
          <w:rFonts w:eastAsia="Times New Roman" w:cstheme="minorHAnsi"/>
        </w:rPr>
        <w:t>persons</w:t>
      </w:r>
      <w:proofErr w:type="gramEnd"/>
      <w:r w:rsidRPr="00313111">
        <w:rPr>
          <w:rFonts w:eastAsia="Times New Roman" w:cstheme="minorHAnsi"/>
        </w:rPr>
        <w:t xml:space="preserve"> are prohibited from accepting deposits in UAE Dirham, engaging in corresponding foreign exchange transactions, or receiving deposits from UAE markets. The exclusive means for establishing an Investment Trust are specified, and a regulatory framework for investigations into Authorised Persons or Recognised Bodies in the ADGM is </w:t>
      </w:r>
      <w:r w:rsidRPr="00313111">
        <w:rPr>
          <w:rFonts w:eastAsia="Times New Roman" w:cstheme="minorHAnsi"/>
        </w:rPr>
        <w:lastRenderedPageBreak/>
        <w:t>established. The definition of "Participating Interest" now requires a 20% or more holding of Shares unless proven otherwise.</w:t>
      </w:r>
    </w:p>
    <w:p w14:paraId="45608B86" w14:textId="77777777" w:rsidR="00313111" w:rsidRPr="00313111" w:rsidRDefault="00313111" w:rsidP="006E6457">
      <w:pPr>
        <w:spacing w:after="0" w:line="240" w:lineRule="auto"/>
        <w:ind w:left="1080"/>
        <w:jc w:val="both"/>
        <w:rPr>
          <w:rFonts w:eastAsia="Times New Roman" w:cstheme="minorHAnsi"/>
        </w:rPr>
      </w:pPr>
    </w:p>
    <w:p w14:paraId="23D5626E" w14:textId="249CBEC7" w:rsidR="00313111" w:rsidRPr="00313111" w:rsidRDefault="00313111" w:rsidP="006E6457">
      <w:pPr>
        <w:numPr>
          <w:ilvl w:val="0"/>
          <w:numId w:val="143"/>
        </w:numPr>
        <w:spacing w:after="0" w:line="240" w:lineRule="auto"/>
        <w:ind w:left="1080"/>
        <w:jc w:val="both"/>
        <w:rPr>
          <w:rFonts w:eastAsia="Times New Roman" w:cstheme="minorHAnsi"/>
        </w:rPr>
      </w:pPr>
      <w:hyperlink r:id="rId16" w:history="1">
        <w:r w:rsidRPr="00313111">
          <w:rPr>
            <w:rStyle w:val="Hyperlink"/>
            <w:rFonts w:eastAsia="Times New Roman" w:cstheme="minorHAnsi"/>
            <w:color w:val="FF6E00"/>
          </w:rPr>
          <w:t>The Financial Services and Markets (Amendment No 2) Regulations</w:t>
        </w:r>
      </w:hyperlink>
      <w:r w:rsidRPr="00313111">
        <w:rPr>
          <w:rFonts w:eastAsia="Times New Roman" w:cstheme="minorHAnsi"/>
        </w:rPr>
        <w:t xml:space="preserve"> (Issued on 25.06.2018): Introduced provisions to the FSMR 2015 related to virtual currency. The Regulator can now establish rules for authorised persons engaging in the Regulated Activity of Operating a Crypto Asset Business in or from the ADGM. The Regulator has the authority to specify Accepted Crypto Assets, set prerequisites for this activity, and prescribe additional requirements for compliance. The Regulator can impose extra obligations on authorised persons in the Crypto Asset Business, outlining specific actions. The amended regulations define "Operating a Crypto Asset Business," covering Crypto Asset activities while excluding certain activities from this definition.</w:t>
      </w:r>
    </w:p>
    <w:p w14:paraId="4C2DEC21" w14:textId="77777777" w:rsidR="00313111" w:rsidRPr="00313111" w:rsidRDefault="00313111" w:rsidP="006E6457">
      <w:pPr>
        <w:spacing w:after="0" w:line="240" w:lineRule="auto"/>
        <w:ind w:left="1080"/>
        <w:jc w:val="both"/>
        <w:rPr>
          <w:rFonts w:eastAsia="Times New Roman" w:cstheme="minorHAnsi"/>
        </w:rPr>
      </w:pPr>
    </w:p>
    <w:p w14:paraId="18C8837C" w14:textId="35053A5D" w:rsidR="00313111" w:rsidRPr="00313111" w:rsidRDefault="00313111" w:rsidP="006E6457">
      <w:pPr>
        <w:numPr>
          <w:ilvl w:val="0"/>
          <w:numId w:val="143"/>
        </w:numPr>
        <w:spacing w:after="0" w:line="240" w:lineRule="auto"/>
        <w:ind w:left="1080"/>
        <w:jc w:val="both"/>
        <w:rPr>
          <w:rFonts w:eastAsia="Times New Roman" w:cstheme="minorHAnsi"/>
        </w:rPr>
      </w:pPr>
      <w:hyperlink r:id="rId17" w:history="1">
        <w:proofErr w:type="gramStart"/>
        <w:r w:rsidRPr="00313111">
          <w:rPr>
            <w:rStyle w:val="Hyperlink"/>
            <w:rFonts w:eastAsia="Times New Roman" w:cstheme="minorHAnsi"/>
            <w:color w:val="FF6E00"/>
          </w:rPr>
          <w:t>The Financial</w:t>
        </w:r>
        <w:proofErr w:type="gramEnd"/>
        <w:r w:rsidRPr="00313111">
          <w:rPr>
            <w:rStyle w:val="Hyperlink"/>
            <w:rFonts w:eastAsia="Times New Roman" w:cstheme="minorHAnsi"/>
            <w:color w:val="FF6E00"/>
          </w:rPr>
          <w:t xml:space="preserve"> Services and Markets (Amendment No 3) Regulation</w:t>
        </w:r>
      </w:hyperlink>
      <w:r w:rsidRPr="00313111">
        <w:rPr>
          <w:rFonts w:eastAsia="Times New Roman" w:cstheme="minorHAnsi"/>
        </w:rPr>
        <w:t xml:space="preserve"> (Issued on 04.07.2018): Made changes to the FSMR 2015. Part 16, focusing on Public Record and Disclosure of Information, was adjusted to limit the Regulator's ability to disclose confidential information without prior consent. The regulations now specify general restrictions on disclosure and exceptions, allowing disclosure for purposes like public functions, criminal proceedings, and anti-money laundering compliance. The Regulator is also authorised to create rules permitting specified persons or categories to disclose information for fulfilling specific functions.</w:t>
      </w:r>
    </w:p>
    <w:p w14:paraId="5F68E930" w14:textId="77777777" w:rsidR="00313111" w:rsidRPr="00313111" w:rsidRDefault="00313111" w:rsidP="006E6457">
      <w:pPr>
        <w:spacing w:after="0" w:line="240" w:lineRule="auto"/>
        <w:ind w:left="1080"/>
        <w:jc w:val="both"/>
        <w:rPr>
          <w:rFonts w:eastAsia="Times New Roman" w:cstheme="minorHAnsi"/>
        </w:rPr>
      </w:pPr>
    </w:p>
    <w:p w14:paraId="56C6B8AB" w14:textId="24964C98" w:rsidR="00313111" w:rsidRPr="00313111" w:rsidRDefault="00313111" w:rsidP="006E6457">
      <w:pPr>
        <w:numPr>
          <w:ilvl w:val="0"/>
          <w:numId w:val="143"/>
        </w:numPr>
        <w:spacing w:after="0" w:line="240" w:lineRule="auto"/>
        <w:ind w:left="1080"/>
        <w:jc w:val="both"/>
        <w:rPr>
          <w:rFonts w:eastAsia="Times New Roman" w:cstheme="minorHAnsi"/>
        </w:rPr>
      </w:pPr>
      <w:hyperlink r:id="rId18" w:history="1">
        <w:r w:rsidRPr="00313111">
          <w:rPr>
            <w:rStyle w:val="Hyperlink"/>
            <w:rFonts w:eastAsia="Times New Roman" w:cstheme="minorHAnsi"/>
            <w:color w:val="FF6E00"/>
          </w:rPr>
          <w:t>The Financial Services and Markets (Amendment No 2) Regulations</w:t>
        </w:r>
      </w:hyperlink>
      <w:r w:rsidRPr="00313111">
        <w:rPr>
          <w:rFonts w:eastAsia="Times New Roman" w:cstheme="minorHAnsi"/>
        </w:rPr>
        <w:t xml:space="preserve"> (Issued on 08.04.2019): Brought changes to the FSMR 2015, primarily focusing on anti-money laundering measures. The updates empower the regulator to establish rules for combating money laundering and terrorist financing, along with implementing corresponding measures, policies, and procedures. The regulations recognise the application of relevant Federal laws in ADGM, emphasising compliance with Federal Anti-Money Laundering Legislation. Relevant Persons are required to conduct customer due diligence and maintain records following specified Rules.</w:t>
      </w:r>
    </w:p>
    <w:p w14:paraId="20A756FC" w14:textId="77777777" w:rsidR="00313111" w:rsidRPr="00313111" w:rsidRDefault="00313111" w:rsidP="006E6457">
      <w:pPr>
        <w:spacing w:after="0" w:line="240" w:lineRule="auto"/>
        <w:ind w:left="1080"/>
        <w:jc w:val="both"/>
        <w:rPr>
          <w:rFonts w:eastAsia="Times New Roman" w:cstheme="minorHAnsi"/>
        </w:rPr>
      </w:pPr>
    </w:p>
    <w:p w14:paraId="4EC0B360" w14:textId="3E3223DB" w:rsidR="00313111" w:rsidRPr="00313111" w:rsidRDefault="00313111" w:rsidP="006E6457">
      <w:pPr>
        <w:numPr>
          <w:ilvl w:val="0"/>
          <w:numId w:val="143"/>
        </w:numPr>
        <w:spacing w:after="0" w:line="240" w:lineRule="auto"/>
        <w:ind w:left="1080"/>
        <w:jc w:val="both"/>
        <w:rPr>
          <w:rFonts w:eastAsia="Times New Roman" w:cstheme="minorHAnsi"/>
        </w:rPr>
      </w:pPr>
      <w:hyperlink r:id="rId19" w:history="1">
        <w:r w:rsidRPr="00313111">
          <w:rPr>
            <w:rStyle w:val="Hyperlink"/>
            <w:rFonts w:eastAsia="Times New Roman" w:cstheme="minorHAnsi"/>
            <w:color w:val="FF6E00"/>
          </w:rPr>
          <w:t>The Financial Services and Markets (Amendment No. 2) Regulations</w:t>
        </w:r>
      </w:hyperlink>
      <w:r w:rsidRPr="00313111">
        <w:rPr>
          <w:rFonts w:eastAsia="Times New Roman" w:cstheme="minorHAnsi"/>
        </w:rPr>
        <w:t xml:space="preserve"> (Issued on 17.02.2020): Amended the FSMR 2015. Changes include a new section governing the operation of a Crypto Asset Business, explaining requirements for Regulated Activities related to Virtual Assets. The amendment grants the regulator authority to prescribe specific requirements for Authorised Persons and establish definitions for terms related to Crypto Virtual Assets. It further empowers the regulator to prescribe requirements for engaging in Regulated Activities related to Virtual Assets. The amendment allows the Regulator to exclude, impose, or require specific actions for Authorised Persons involved in Regulated Activity or Operating a Crypto Asset Exchange Multilateral Trading Facility. Additionally, it introduces the definition of "Inside Information" to prevent the use of non-public information impacting the price of financial instruments or virtual assets for financial gain.</w:t>
      </w:r>
    </w:p>
    <w:p w14:paraId="51AE3BB2" w14:textId="77777777" w:rsidR="00313111" w:rsidRPr="00313111" w:rsidRDefault="00313111" w:rsidP="006E6457">
      <w:pPr>
        <w:spacing w:after="0" w:line="240" w:lineRule="auto"/>
        <w:ind w:left="1080"/>
        <w:jc w:val="both"/>
        <w:rPr>
          <w:rFonts w:eastAsia="Times New Roman" w:cstheme="minorHAnsi"/>
        </w:rPr>
      </w:pPr>
    </w:p>
    <w:p w14:paraId="243502FE" w14:textId="2D47FFEE" w:rsidR="00313111" w:rsidRPr="00313111" w:rsidRDefault="00313111" w:rsidP="006E6457">
      <w:pPr>
        <w:numPr>
          <w:ilvl w:val="0"/>
          <w:numId w:val="143"/>
        </w:numPr>
        <w:spacing w:after="0" w:line="240" w:lineRule="auto"/>
        <w:ind w:left="1080"/>
        <w:jc w:val="both"/>
        <w:rPr>
          <w:rFonts w:eastAsia="Times New Roman" w:cstheme="minorHAnsi"/>
        </w:rPr>
      </w:pPr>
      <w:r w:rsidRPr="00313111">
        <w:rPr>
          <w:rFonts w:eastAsia="Times New Roman" w:cstheme="minorHAnsi"/>
          <w:u w:val="single"/>
        </w:rPr>
        <w:t>The FSRA Guidance and Policy Manual (</w:t>
      </w:r>
      <w:hyperlink r:id="rId20" w:history="1">
        <w:r w:rsidRPr="00313111">
          <w:rPr>
            <w:rStyle w:val="Hyperlink"/>
            <w:rFonts w:eastAsia="Times New Roman" w:cstheme="minorHAnsi"/>
            <w:b/>
            <w:bCs/>
            <w:color w:val="FF6E00"/>
          </w:rPr>
          <w:t>GPM</w:t>
        </w:r>
      </w:hyperlink>
      <w:r w:rsidRPr="00313111">
        <w:rPr>
          <w:rFonts w:eastAsia="Times New Roman" w:cstheme="minorHAnsi"/>
          <w:u w:val="single"/>
        </w:rPr>
        <w:t>)</w:t>
      </w:r>
      <w:r w:rsidRPr="00313111">
        <w:rPr>
          <w:rFonts w:eastAsia="Times New Roman" w:cstheme="minorHAnsi"/>
        </w:rPr>
        <w:t xml:space="preserve">: On the Regulation of Digital Security Offerings and Virtual Assets informs how the FSRA regulates financial services entities and markets in ADGM. The manual adopts a risk-based approach, covering policies, authorisation processes, and enforcement guidelines. Applicants undergo a fitness and propriety assessment before obtaining regulatory status, with FSRA supervision tailored to size, complexity, and risk </w:t>
      </w:r>
      <w:r w:rsidRPr="00313111">
        <w:rPr>
          <w:rFonts w:eastAsia="Times New Roman" w:cstheme="minorHAnsi"/>
        </w:rPr>
        <w:lastRenderedPageBreak/>
        <w:t xml:space="preserve">profile. The FSRA holds enforcement powers, granting waivers or modifications and investigating and </w:t>
      </w:r>
      <w:proofErr w:type="gramStart"/>
      <w:r w:rsidRPr="00313111">
        <w:rPr>
          <w:rFonts w:eastAsia="Times New Roman" w:cstheme="minorHAnsi"/>
        </w:rPr>
        <w:t>taking action</w:t>
      </w:r>
      <w:proofErr w:type="gramEnd"/>
      <w:r w:rsidRPr="00313111">
        <w:rPr>
          <w:rFonts w:eastAsia="Times New Roman" w:cstheme="minorHAnsi"/>
        </w:rPr>
        <w:t xml:space="preserve"> against regulatory violations. The manual specifies information requirements for applicants, safeguards confidentiality during investigations, and allows settlements through a final notice or enforceable undertaking.</w:t>
      </w:r>
    </w:p>
    <w:p w14:paraId="20C09042" w14:textId="77777777" w:rsidR="00313111" w:rsidRPr="00313111" w:rsidRDefault="00313111" w:rsidP="006E6457">
      <w:pPr>
        <w:spacing w:after="0" w:line="240" w:lineRule="auto"/>
        <w:ind w:left="1080"/>
        <w:jc w:val="both"/>
        <w:rPr>
          <w:rFonts w:eastAsia="Times New Roman" w:cstheme="minorHAnsi"/>
        </w:rPr>
      </w:pPr>
    </w:p>
    <w:p w14:paraId="166B007B" w14:textId="75DCA8E3" w:rsidR="00313111" w:rsidRPr="00313111" w:rsidRDefault="00313111" w:rsidP="006E6457">
      <w:pPr>
        <w:numPr>
          <w:ilvl w:val="0"/>
          <w:numId w:val="143"/>
        </w:numPr>
        <w:spacing w:after="0" w:line="240" w:lineRule="auto"/>
        <w:ind w:left="1080"/>
        <w:jc w:val="both"/>
        <w:rPr>
          <w:rFonts w:eastAsia="Times New Roman" w:cstheme="minorHAnsi"/>
        </w:rPr>
      </w:pPr>
      <w:hyperlink r:id="rId21" w:history="1">
        <w:r w:rsidRPr="00313111">
          <w:rPr>
            <w:rStyle w:val="Hyperlink"/>
            <w:rFonts w:eastAsia="Times New Roman" w:cstheme="minorHAnsi"/>
            <w:color w:val="FF6E00"/>
          </w:rPr>
          <w:t>The Guidance on Regulations for Digital Securities in ADGMs</w:t>
        </w:r>
      </w:hyperlink>
      <w:r w:rsidRPr="00313111">
        <w:rPr>
          <w:rFonts w:eastAsia="Times New Roman" w:cstheme="minorHAnsi"/>
        </w:rPr>
        <w:t>: Incorporated amendments in regulations related to the issuance of digital securities and the content of associated prospectuses, with rules for Recognised Investment Exchanges (</w:t>
      </w:r>
      <w:r w:rsidRPr="00313111">
        <w:rPr>
          <w:rFonts w:eastAsia="Times New Roman" w:cstheme="minorHAnsi"/>
          <w:b/>
          <w:bCs/>
        </w:rPr>
        <w:t>RIEs</w:t>
      </w:r>
      <w:r w:rsidRPr="00313111">
        <w:rPr>
          <w:rFonts w:eastAsia="Times New Roman" w:cstheme="minorHAnsi"/>
        </w:rPr>
        <w:t>), Multilateral Trading Facilities (</w:t>
      </w:r>
      <w:r w:rsidRPr="00313111">
        <w:rPr>
          <w:rFonts w:eastAsia="Times New Roman" w:cstheme="minorHAnsi"/>
          <w:b/>
          <w:bCs/>
        </w:rPr>
        <w:t>MTFs</w:t>
      </w:r>
      <w:r w:rsidRPr="00313111">
        <w:rPr>
          <w:rFonts w:eastAsia="Times New Roman" w:cstheme="minorHAnsi"/>
        </w:rPr>
        <w:t>), and Organised Trading Facilities (</w:t>
      </w:r>
      <w:r w:rsidRPr="00313111">
        <w:rPr>
          <w:rFonts w:eastAsia="Times New Roman" w:cstheme="minorHAnsi"/>
          <w:b/>
          <w:bCs/>
        </w:rPr>
        <w:t>OTFs</w:t>
      </w:r>
      <w:r w:rsidRPr="00313111">
        <w:rPr>
          <w:rFonts w:eastAsia="Times New Roman" w:cstheme="minorHAnsi"/>
        </w:rPr>
        <w:t>) trading digital securities. Key changes include ensuring reliable settlement processes. The Guidance outlines regulations for intermediaries and introduces guidelines for technology governance, controls, transaction protocols, and measures against financial misconduct. It incorporates norms related to Islamic finance rules and stablecoins.</w:t>
      </w:r>
    </w:p>
    <w:p w14:paraId="21FE339F" w14:textId="77777777" w:rsidR="00313111" w:rsidRPr="00313111" w:rsidRDefault="00313111" w:rsidP="006E6457">
      <w:pPr>
        <w:spacing w:after="0" w:line="240" w:lineRule="auto"/>
        <w:ind w:left="1080"/>
        <w:jc w:val="both"/>
        <w:rPr>
          <w:rFonts w:eastAsia="Times New Roman" w:cstheme="minorHAnsi"/>
        </w:rPr>
      </w:pPr>
    </w:p>
    <w:p w14:paraId="300F126F" w14:textId="7BE4068F" w:rsidR="00313111" w:rsidRPr="00313111" w:rsidRDefault="00313111" w:rsidP="006E6457">
      <w:pPr>
        <w:numPr>
          <w:ilvl w:val="0"/>
          <w:numId w:val="143"/>
        </w:numPr>
        <w:spacing w:after="0" w:line="240" w:lineRule="auto"/>
        <w:ind w:left="1080"/>
        <w:jc w:val="both"/>
        <w:rPr>
          <w:rFonts w:eastAsia="Times New Roman" w:cstheme="minorHAnsi"/>
        </w:rPr>
      </w:pPr>
      <w:hyperlink r:id="rId22" w:history="1">
        <w:r w:rsidRPr="00313111">
          <w:rPr>
            <w:rStyle w:val="Hyperlink"/>
            <w:rFonts w:eastAsia="Times New Roman" w:cstheme="minorHAnsi"/>
            <w:color w:val="FF6E00"/>
          </w:rPr>
          <w:t>The Guidance on Regulation of Digital Security Offerings and Virtual Assets under the FSMR</w:t>
        </w:r>
      </w:hyperlink>
      <w:r w:rsidRPr="00313111">
        <w:rPr>
          <w:rFonts w:eastAsia="Times New Roman" w:cstheme="minorHAnsi"/>
        </w:rPr>
        <w:t>: Applies to entities considering initial coin or token offerings (ICOs) for fundraising. The FSRA follows a technology-neutral regulatory approach, applying requirements to the execution of Regulated Activities or those specified in a Recognition Order. Noteworthy risks include fraud, money laundering, terrorist financing, and volatility. The FSRA advises careful assessment of risks before investing in Virtual Assets or related Derivatives. Importantly, Virtual Assets resembling Digital Securities are subject to relevant regulatory requirements.</w:t>
      </w:r>
    </w:p>
    <w:p w14:paraId="4D430497" w14:textId="77777777" w:rsidR="00313111" w:rsidRPr="00313111" w:rsidRDefault="00313111" w:rsidP="006E6457">
      <w:pPr>
        <w:spacing w:after="0" w:line="240" w:lineRule="auto"/>
        <w:ind w:left="1080"/>
        <w:jc w:val="both"/>
        <w:rPr>
          <w:rFonts w:eastAsia="Times New Roman" w:cstheme="minorHAnsi"/>
        </w:rPr>
      </w:pPr>
    </w:p>
    <w:p w14:paraId="1F13EDA6" w14:textId="14916BAF" w:rsidR="00313111" w:rsidRPr="00313111" w:rsidRDefault="00313111" w:rsidP="006E6457">
      <w:pPr>
        <w:numPr>
          <w:ilvl w:val="0"/>
          <w:numId w:val="143"/>
        </w:numPr>
        <w:spacing w:after="0" w:line="240" w:lineRule="auto"/>
        <w:ind w:left="1080"/>
        <w:jc w:val="both"/>
        <w:rPr>
          <w:rFonts w:eastAsia="Times New Roman" w:cstheme="minorHAnsi"/>
        </w:rPr>
      </w:pPr>
      <w:hyperlink r:id="rId23" w:history="1">
        <w:r w:rsidRPr="00313111">
          <w:rPr>
            <w:rStyle w:val="Hyperlink"/>
            <w:rFonts w:eastAsia="Times New Roman" w:cstheme="minorHAnsi"/>
            <w:color w:val="FF6E00"/>
          </w:rPr>
          <w:t>The Financial Services and Markets (Amendment No. 2) Regulations</w:t>
        </w:r>
      </w:hyperlink>
      <w:r w:rsidRPr="00313111">
        <w:rPr>
          <w:rFonts w:eastAsia="Times New Roman" w:cstheme="minorHAnsi"/>
        </w:rPr>
        <w:t xml:space="preserve"> (Issued on 21.03.2021): Have been enacted to amend the FSMR 2015. These include the mandate for the Regulator to publish a comprehensive record encompassing authorised persons, recognised investment exchanges, and public funds. The revised definition designates "Third-Party Services" as a regulated activity, with a "Third-Party Provider" being an Authorised Person authorised for Providing Third-Party Services. Notably, exclusions have been specified for Technical Services, Payment or Securities Settlement Systems, and Services with Physical Form, separating situations where activities involving specified information do not fall under the ambit of Third-Party Services.</w:t>
      </w:r>
    </w:p>
    <w:p w14:paraId="5A90B625" w14:textId="77777777" w:rsidR="00313111" w:rsidRPr="00313111" w:rsidRDefault="00313111" w:rsidP="006E6457">
      <w:pPr>
        <w:spacing w:after="0" w:line="240" w:lineRule="auto"/>
        <w:ind w:left="1080"/>
        <w:jc w:val="both"/>
        <w:rPr>
          <w:rFonts w:eastAsia="Times New Roman" w:cstheme="minorHAnsi"/>
        </w:rPr>
      </w:pPr>
    </w:p>
    <w:p w14:paraId="7CA89629" w14:textId="63C15B4A" w:rsidR="00313111" w:rsidRPr="00313111" w:rsidRDefault="00313111" w:rsidP="006E6457">
      <w:pPr>
        <w:numPr>
          <w:ilvl w:val="0"/>
          <w:numId w:val="143"/>
        </w:numPr>
        <w:spacing w:after="0" w:line="240" w:lineRule="auto"/>
        <w:ind w:left="1080"/>
        <w:jc w:val="both"/>
        <w:rPr>
          <w:rFonts w:eastAsia="Times New Roman" w:cstheme="minorHAnsi"/>
        </w:rPr>
      </w:pPr>
      <w:hyperlink r:id="rId24" w:history="1">
        <w:r w:rsidRPr="00313111">
          <w:rPr>
            <w:rStyle w:val="Hyperlink"/>
            <w:rFonts w:eastAsia="Times New Roman" w:cstheme="minorHAnsi"/>
            <w:color w:val="FF6E00"/>
          </w:rPr>
          <w:t>Guidelines for Financial Institutions adopting Enabling Technologies</w:t>
        </w:r>
      </w:hyperlink>
      <w:r w:rsidRPr="00313111">
        <w:rPr>
          <w:rFonts w:eastAsia="Times New Roman" w:cstheme="minorHAnsi"/>
        </w:rPr>
        <w:t xml:space="preserve"> (Issued on 15.11.2021): The Central Bank of the UAE, the Securities and Commodities Authority, the Dubai Financial Services Authority, and the Financial Services Regulatory Authority jointly issued comprehensive guidelines for financial institutions embracing Enabling Technologies. These guidelines provide principles for </w:t>
      </w:r>
      <w:proofErr w:type="gramStart"/>
      <w:r w:rsidRPr="00313111">
        <w:rPr>
          <w:rFonts w:eastAsia="Times New Roman" w:cstheme="minorHAnsi"/>
        </w:rPr>
        <w:t>safe</w:t>
      </w:r>
      <w:proofErr w:type="gramEnd"/>
      <w:r w:rsidRPr="00313111">
        <w:rPr>
          <w:rFonts w:eastAsia="Times New Roman" w:cstheme="minorHAnsi"/>
        </w:rPr>
        <w:t xml:space="preserve"> use of technologies like cloud computing, biometrics, distributed ledger technology (</w:t>
      </w:r>
      <w:r w:rsidRPr="00313111">
        <w:rPr>
          <w:rFonts w:eastAsia="Times New Roman" w:cstheme="minorHAnsi"/>
          <w:b/>
          <w:bCs/>
        </w:rPr>
        <w:t>DLT</w:t>
      </w:r>
      <w:r w:rsidRPr="00313111">
        <w:rPr>
          <w:rFonts w:eastAsia="Times New Roman" w:cstheme="minorHAnsi"/>
        </w:rPr>
        <w:t>), and big data analytics. DLT, including Blockchain, is defined, with acknowledgment of Permissioned Blockchain. Guidelines emphasise a documented governance framework for decision-making and risk management in blockchain and DLT use. Institutions should ensure auditability of DLT applications. Virtual assets, including cryptocurrencies, are treated as Personal Data.</w:t>
      </w:r>
    </w:p>
    <w:p w14:paraId="6A95923C" w14:textId="77777777" w:rsidR="00313111" w:rsidRPr="00313111" w:rsidRDefault="00313111" w:rsidP="006E6457">
      <w:pPr>
        <w:spacing w:after="0" w:line="240" w:lineRule="auto"/>
        <w:ind w:left="1080"/>
        <w:jc w:val="both"/>
        <w:rPr>
          <w:rFonts w:eastAsia="Times New Roman" w:cstheme="minorHAnsi"/>
        </w:rPr>
      </w:pPr>
    </w:p>
    <w:p w14:paraId="07180501" w14:textId="6BE8F9BB" w:rsidR="00313111" w:rsidRPr="00313111" w:rsidRDefault="00313111" w:rsidP="006E6457">
      <w:pPr>
        <w:numPr>
          <w:ilvl w:val="0"/>
          <w:numId w:val="143"/>
        </w:numPr>
        <w:spacing w:after="0" w:line="240" w:lineRule="auto"/>
        <w:ind w:left="1080"/>
        <w:jc w:val="both"/>
        <w:rPr>
          <w:rFonts w:eastAsia="Times New Roman" w:cstheme="minorHAnsi"/>
        </w:rPr>
      </w:pPr>
      <w:hyperlink r:id="rId25" w:history="1">
        <w:r w:rsidRPr="00313111">
          <w:rPr>
            <w:rStyle w:val="Hyperlink"/>
            <w:rFonts w:eastAsia="Times New Roman" w:cstheme="minorHAnsi"/>
            <w:color w:val="FF6E00"/>
          </w:rPr>
          <w:t>Guiding Principles for the Financial Services Regulatory Authority’s Approach to Virtual Asset Regulation and Supervision</w:t>
        </w:r>
      </w:hyperlink>
      <w:r w:rsidRPr="00313111">
        <w:rPr>
          <w:rFonts w:eastAsia="Times New Roman" w:cstheme="minorHAnsi"/>
        </w:rPr>
        <w:t xml:space="preserve"> (Issued on 12.009.2022): The guiding principles are designed to encourage collaboration with regulatory agencies globally, laying the foundation for consistent regulation. These principles outline FSRA's risk approach in areas like regulation, authorisation, financial crime, and international cooperation. Only operators meeting high </w:t>
      </w:r>
      <w:r w:rsidRPr="00313111">
        <w:rPr>
          <w:rFonts w:eastAsia="Times New Roman" w:cstheme="minorHAnsi"/>
        </w:rPr>
        <w:lastRenderedPageBreak/>
        <w:t xml:space="preserve">standards are admitted to FSRA's jurisdiction. Comprehensive anti-money laundering rules promote </w:t>
      </w:r>
      <w:proofErr w:type="gramStart"/>
      <w:r w:rsidRPr="00313111">
        <w:rPr>
          <w:rFonts w:eastAsia="Times New Roman" w:cstheme="minorHAnsi"/>
        </w:rPr>
        <w:t>best</w:t>
      </w:r>
      <w:proofErr w:type="gramEnd"/>
      <w:r w:rsidRPr="00313111">
        <w:rPr>
          <w:rFonts w:eastAsia="Times New Roman" w:cstheme="minorHAnsi"/>
        </w:rPr>
        <w:t xml:space="preserve"> practices within ADGM’s VA firms. FSRA's risk-based supervision extends to VA firms, with a team experienced in the industry. </w:t>
      </w:r>
    </w:p>
    <w:p w14:paraId="3F84BED8" w14:textId="77777777" w:rsidR="00313111" w:rsidRPr="00313111" w:rsidRDefault="00313111" w:rsidP="006E6457">
      <w:pPr>
        <w:spacing w:after="0" w:line="240" w:lineRule="auto"/>
        <w:ind w:left="1080"/>
        <w:jc w:val="both"/>
        <w:rPr>
          <w:rFonts w:eastAsia="Times New Roman" w:cstheme="minorHAnsi"/>
        </w:rPr>
      </w:pPr>
    </w:p>
    <w:p w14:paraId="629A493F" w14:textId="2DDF407A" w:rsidR="00313111" w:rsidRPr="00313111" w:rsidRDefault="00313111" w:rsidP="006E6457">
      <w:pPr>
        <w:numPr>
          <w:ilvl w:val="0"/>
          <w:numId w:val="143"/>
        </w:numPr>
        <w:spacing w:after="0" w:line="240" w:lineRule="auto"/>
        <w:ind w:left="1080"/>
        <w:jc w:val="both"/>
        <w:rPr>
          <w:rFonts w:eastAsia="Times New Roman" w:cstheme="minorHAnsi"/>
        </w:rPr>
      </w:pPr>
      <w:hyperlink r:id="rId26" w:history="1">
        <w:r w:rsidRPr="0065286E">
          <w:rPr>
            <w:rStyle w:val="Hyperlink"/>
            <w:rFonts w:eastAsia="Times New Roman" w:cstheme="minorHAnsi"/>
            <w:color w:val="FF6E00"/>
          </w:rPr>
          <w:t>Financial Services and Markets (Amendment No. 1) Regulations</w:t>
        </w:r>
      </w:hyperlink>
      <w:r w:rsidRPr="00313111">
        <w:rPr>
          <w:rFonts w:eastAsia="Times New Roman" w:cstheme="minorHAnsi"/>
        </w:rPr>
        <w:t xml:space="preserve"> (Issued on 20.09.2022): Modify the 2015 FSMR, concentrating on Virtual Assets and Spot Commodities in ADGM. These amendments empower regulators to establish requirements for Authorised Persons dealing with Virtual Assets or Spot Commodities, introducing additional compliance obligations and exemption powers for specific Rules. The specified activity of Custody Services now includes safeguarding various assets. Notably, operating a Representative Office becomes a regulated activity, and Authorised Persons providing Third Party Services are restricted from holding Client Assets unless permitted under the relevant Financial Services Permission.</w:t>
      </w:r>
    </w:p>
    <w:p w14:paraId="53F8DB7D" w14:textId="77777777" w:rsidR="00313111" w:rsidRPr="00313111" w:rsidRDefault="00313111" w:rsidP="006E6457">
      <w:pPr>
        <w:spacing w:after="0" w:line="240" w:lineRule="auto"/>
        <w:ind w:left="1080"/>
        <w:jc w:val="both"/>
        <w:rPr>
          <w:rFonts w:eastAsia="Times New Roman" w:cstheme="minorHAnsi"/>
          <w:color w:val="FF6E00"/>
        </w:rPr>
      </w:pPr>
    </w:p>
    <w:p w14:paraId="0D092FF1" w14:textId="49B2D02C" w:rsidR="00313111" w:rsidRPr="00313111" w:rsidRDefault="00313111" w:rsidP="006E6457">
      <w:pPr>
        <w:numPr>
          <w:ilvl w:val="0"/>
          <w:numId w:val="143"/>
        </w:numPr>
        <w:spacing w:after="0" w:line="240" w:lineRule="auto"/>
        <w:ind w:left="1080"/>
        <w:jc w:val="both"/>
        <w:rPr>
          <w:rFonts w:eastAsia="Times New Roman" w:cstheme="minorHAnsi"/>
        </w:rPr>
      </w:pPr>
      <w:hyperlink r:id="rId27" w:history="1">
        <w:r w:rsidRPr="00313111">
          <w:rPr>
            <w:rStyle w:val="Hyperlink"/>
            <w:rFonts w:eastAsia="Times New Roman" w:cstheme="minorHAnsi"/>
            <w:color w:val="FF6E00"/>
          </w:rPr>
          <w:t>Guidance – Regulation of Virtual Asset Activities in ADGM</w:t>
        </w:r>
      </w:hyperlink>
      <w:r w:rsidRPr="00313111">
        <w:rPr>
          <w:rFonts w:eastAsia="Times New Roman" w:cstheme="minorHAnsi"/>
        </w:rPr>
        <w:t xml:space="preserve"> (Issued on 28.09.2022): Sets out regulatory requirements for authorised persons in virtual asset-related activities, covering areas such as accepted virtual assets, capital requirements, anti-money laundering, terrorism financing, tax reporting, technology governance, market abuse, and risk disclosures. The guidance defines stablecoins, advocating for fully backed 1:1 fiat token. Stablecoin issuers in payments are considered money services businesses, requiring Financial Services Permission. Regarding non-fungible tokens (</w:t>
      </w:r>
      <w:r w:rsidRPr="00313111">
        <w:rPr>
          <w:rFonts w:eastAsia="Times New Roman" w:cstheme="minorHAnsi"/>
          <w:b/>
          <w:bCs/>
        </w:rPr>
        <w:t>NFTs</w:t>
      </w:r>
      <w:r w:rsidRPr="00313111">
        <w:rPr>
          <w:rFonts w:eastAsia="Times New Roman" w:cstheme="minorHAnsi"/>
        </w:rPr>
        <w:t>), the guidance recognises their relevance without proposing a formal regulatory framework, allowing regulated multilateral trading facilities in ADGM to engage in NFT activities.</w:t>
      </w:r>
    </w:p>
    <w:p w14:paraId="3480E8BF" w14:textId="77777777" w:rsidR="00313111" w:rsidRPr="00313111" w:rsidRDefault="00313111" w:rsidP="006E6457">
      <w:pPr>
        <w:spacing w:after="0" w:line="240" w:lineRule="auto"/>
        <w:ind w:left="1080"/>
        <w:jc w:val="both"/>
        <w:rPr>
          <w:rFonts w:eastAsia="Times New Roman" w:cstheme="minorHAnsi"/>
        </w:rPr>
      </w:pPr>
    </w:p>
    <w:p w14:paraId="506DCA11" w14:textId="7A312058" w:rsidR="00313111" w:rsidRPr="00313111" w:rsidRDefault="00313111" w:rsidP="006E6457">
      <w:pPr>
        <w:numPr>
          <w:ilvl w:val="0"/>
          <w:numId w:val="143"/>
        </w:numPr>
        <w:spacing w:after="0" w:line="240" w:lineRule="auto"/>
        <w:ind w:left="1080"/>
        <w:jc w:val="both"/>
        <w:rPr>
          <w:rFonts w:eastAsia="Times New Roman" w:cstheme="minorHAnsi"/>
        </w:rPr>
      </w:pPr>
      <w:hyperlink r:id="rId28" w:history="1">
        <w:r w:rsidRPr="00313111">
          <w:rPr>
            <w:rStyle w:val="Hyperlink"/>
            <w:rFonts w:eastAsia="Times New Roman" w:cstheme="minorHAnsi"/>
            <w:color w:val="FF6E00"/>
          </w:rPr>
          <w:t>The Distributed Ledger Technology Foundations Regulations</w:t>
        </w:r>
      </w:hyperlink>
      <w:r w:rsidRPr="00313111">
        <w:rPr>
          <w:rFonts w:eastAsia="Times New Roman" w:cstheme="minorHAnsi"/>
        </w:rPr>
        <w:t xml:space="preserve"> (Issued on 02.10.2023): The Distributed Ledger Technology Foundations Regulations create a legal framework within the ADGM for the regulation and establishment of DLT Foundations. These regulations cover criteria for foundation formation and registration, asset management, compliance obligations, governance, and reporting requirements. They also include provisions for the disqualification and liability of council members, the appointment of guardians, and the processes for migration and dissolution of DLT Foundations. The primary goal is to facilitate innovation and protect the interests of stakeholders within the DLT ecosystem in the ADGM.</w:t>
      </w:r>
    </w:p>
    <w:p w14:paraId="1EEDD07C" w14:textId="77777777" w:rsidR="00313111" w:rsidRPr="00313111" w:rsidRDefault="00313111" w:rsidP="006E6457">
      <w:pPr>
        <w:spacing w:after="0" w:line="240" w:lineRule="auto"/>
        <w:ind w:left="1080"/>
        <w:jc w:val="both"/>
        <w:rPr>
          <w:rFonts w:eastAsia="Times New Roman" w:cstheme="minorHAnsi"/>
        </w:rPr>
      </w:pPr>
    </w:p>
    <w:p w14:paraId="2463E483" w14:textId="75B34A2A" w:rsidR="00313111" w:rsidRPr="00313111" w:rsidRDefault="00313111" w:rsidP="006E6457">
      <w:pPr>
        <w:numPr>
          <w:ilvl w:val="0"/>
          <w:numId w:val="143"/>
        </w:numPr>
        <w:spacing w:after="0" w:line="240" w:lineRule="auto"/>
        <w:ind w:left="1080"/>
        <w:jc w:val="both"/>
        <w:rPr>
          <w:rFonts w:eastAsia="Times New Roman" w:cstheme="minorHAnsi"/>
        </w:rPr>
      </w:pPr>
      <w:hyperlink r:id="rId29" w:history="1">
        <w:r w:rsidRPr="00313111">
          <w:rPr>
            <w:rStyle w:val="Hyperlink"/>
            <w:rFonts w:eastAsia="Times New Roman" w:cstheme="minorHAnsi"/>
            <w:color w:val="FF6E00"/>
          </w:rPr>
          <w:t>Consultation Paper No. 7 of 2024 (Proposed Regulatory Framework for Fiat-Referenced Tokens)</w:t>
        </w:r>
      </w:hyperlink>
      <w:r w:rsidRPr="00313111">
        <w:rPr>
          <w:rFonts w:eastAsia="Times New Roman" w:cstheme="minorHAnsi"/>
        </w:rPr>
        <w:t>: The Proposed Regulatory Framework for Fiat-Referenced Tokens (</w:t>
      </w:r>
      <w:r w:rsidRPr="00313111">
        <w:rPr>
          <w:rFonts w:eastAsia="Times New Roman" w:cstheme="minorHAnsi"/>
          <w:b/>
          <w:bCs/>
        </w:rPr>
        <w:t>FRTs</w:t>
      </w:r>
      <w:r w:rsidRPr="00313111">
        <w:rPr>
          <w:rFonts w:eastAsia="Times New Roman" w:cstheme="minorHAnsi"/>
        </w:rPr>
        <w:t xml:space="preserve">), introduced by the FSRA in August 2024, focuses on the issuance and regulation of FRTs. These tokens are fully backed by high-quality liquid assets denominated in the same currency as the token, ensuring a stable value and providing a redemption right for token holders. </w:t>
      </w:r>
      <w:proofErr w:type="gramStart"/>
      <w:r w:rsidRPr="00313111">
        <w:rPr>
          <w:rFonts w:eastAsia="Times New Roman" w:cstheme="minorHAnsi"/>
        </w:rPr>
        <w:t>Issuers of FRTs</w:t>
      </w:r>
      <w:proofErr w:type="gramEnd"/>
      <w:r w:rsidRPr="00313111">
        <w:rPr>
          <w:rFonts w:eastAsia="Times New Roman" w:cstheme="minorHAnsi"/>
        </w:rPr>
        <w:t xml:space="preserve"> must maintain full backing of tokens with liquid assets and ensure that tokens can be redeemed at par value within two business days (T+2). The framework mandates monthly independent attestations of the reserve assets and annual external audits. Additionally, algorithmic </w:t>
      </w:r>
      <w:proofErr w:type="gramStart"/>
      <w:r w:rsidRPr="00313111">
        <w:rPr>
          <w:rFonts w:eastAsia="Times New Roman" w:cstheme="minorHAnsi"/>
        </w:rPr>
        <w:t>stablecoins</w:t>
      </w:r>
      <w:proofErr w:type="gramEnd"/>
      <w:r w:rsidRPr="00313111">
        <w:rPr>
          <w:rFonts w:eastAsia="Times New Roman" w:cstheme="minorHAnsi"/>
        </w:rPr>
        <w:t xml:space="preserve"> are prohibited under this framework. Issuers are also required to adhere to specific capital requirements and ensure that reserve assets are securely segregated. </w:t>
      </w:r>
    </w:p>
    <w:p w14:paraId="274249A9" w14:textId="77777777" w:rsidR="00313111" w:rsidRPr="00313111" w:rsidRDefault="00313111" w:rsidP="006E6457">
      <w:pPr>
        <w:spacing w:after="0" w:line="240" w:lineRule="auto"/>
        <w:ind w:left="1080"/>
        <w:jc w:val="both"/>
        <w:rPr>
          <w:rFonts w:eastAsia="Times New Roman" w:cstheme="minorHAnsi"/>
        </w:rPr>
      </w:pPr>
    </w:p>
    <w:p w14:paraId="3510AA98" w14:textId="5545E6C7" w:rsidR="00313111" w:rsidRPr="00313111" w:rsidRDefault="00313111" w:rsidP="006E6457">
      <w:pPr>
        <w:numPr>
          <w:ilvl w:val="0"/>
          <w:numId w:val="143"/>
        </w:numPr>
        <w:spacing w:after="0" w:line="240" w:lineRule="auto"/>
        <w:ind w:left="1080"/>
        <w:jc w:val="both"/>
        <w:rPr>
          <w:rFonts w:eastAsia="Times New Roman" w:cstheme="minorHAnsi"/>
        </w:rPr>
      </w:pPr>
      <w:r w:rsidRPr="00313111">
        <w:rPr>
          <w:rFonts w:eastAsia="Times New Roman" w:cstheme="minorHAnsi"/>
          <w:u w:val="single"/>
        </w:rPr>
        <w:t>The Conduct of Business Rulebook (</w:t>
      </w:r>
      <w:hyperlink r:id="rId30" w:history="1">
        <w:r w:rsidRPr="00313111">
          <w:rPr>
            <w:rStyle w:val="Hyperlink"/>
            <w:rFonts w:eastAsia="Times New Roman" w:cstheme="minorHAnsi"/>
            <w:b/>
            <w:bCs/>
            <w:color w:val="FF6E00"/>
          </w:rPr>
          <w:t>COBS</w:t>
        </w:r>
      </w:hyperlink>
      <w:r w:rsidRPr="00313111">
        <w:rPr>
          <w:rFonts w:eastAsia="Times New Roman" w:cstheme="minorHAnsi"/>
          <w:u w:val="single"/>
        </w:rPr>
        <w:t>)</w:t>
      </w:r>
      <w:r w:rsidRPr="00313111">
        <w:rPr>
          <w:rFonts w:eastAsia="Times New Roman" w:cstheme="minorHAnsi"/>
        </w:rPr>
        <w:t xml:space="preserve">: Includes various sections guiding Authorised Persons in their activities, notably those involving virtual assets, emphasising overall compliance and addressing custody and disclosure requirements for virtual assets. It laid </w:t>
      </w:r>
      <w:r w:rsidRPr="00313111">
        <w:rPr>
          <w:rFonts w:eastAsia="Times New Roman" w:cstheme="minorHAnsi"/>
        </w:rPr>
        <w:lastRenderedPageBreak/>
        <w:t xml:space="preserve">down additional rules to Authorised Persons engaging in Regulated Activities related to Virtual Assets, covering Client Assets, Prohibition on Crypto-Asset Linked Instruments, Promoting Client Interests, Protecting Client Assets, and Reporting. </w:t>
      </w:r>
    </w:p>
    <w:p w14:paraId="5B6D46A9" w14:textId="77777777" w:rsidR="00313111" w:rsidRPr="00313111" w:rsidRDefault="00313111" w:rsidP="006E6457">
      <w:pPr>
        <w:spacing w:after="0" w:line="240" w:lineRule="auto"/>
        <w:ind w:left="1080"/>
        <w:jc w:val="both"/>
        <w:rPr>
          <w:rFonts w:eastAsia="Times New Roman" w:cstheme="minorHAnsi"/>
        </w:rPr>
      </w:pPr>
    </w:p>
    <w:p w14:paraId="0A3C9924" w14:textId="059F8F37" w:rsidR="00313111" w:rsidRPr="00B2686C" w:rsidRDefault="00313111" w:rsidP="006E6457">
      <w:pPr>
        <w:numPr>
          <w:ilvl w:val="0"/>
          <w:numId w:val="143"/>
        </w:numPr>
        <w:spacing w:after="0" w:line="240" w:lineRule="auto"/>
        <w:ind w:left="1080"/>
        <w:jc w:val="both"/>
        <w:rPr>
          <w:rFonts w:eastAsia="Times New Roman" w:cstheme="minorHAnsi"/>
        </w:rPr>
      </w:pPr>
      <w:r w:rsidRPr="00313111">
        <w:rPr>
          <w:rFonts w:eastAsia="Times New Roman" w:cstheme="minorHAnsi"/>
          <w:u w:val="single"/>
        </w:rPr>
        <w:t>The Fees Rules (</w:t>
      </w:r>
      <w:hyperlink r:id="rId31" w:history="1">
        <w:r w:rsidRPr="00313111">
          <w:rPr>
            <w:rStyle w:val="Hyperlink"/>
            <w:rFonts w:eastAsia="Times New Roman" w:cstheme="minorHAnsi"/>
            <w:b/>
            <w:bCs/>
            <w:color w:val="FF6E00"/>
          </w:rPr>
          <w:t>FEES</w:t>
        </w:r>
      </w:hyperlink>
      <w:r w:rsidRPr="00313111">
        <w:rPr>
          <w:rFonts w:eastAsia="Times New Roman" w:cstheme="minorHAnsi"/>
          <w:u w:val="single"/>
        </w:rPr>
        <w:t>)</w:t>
      </w:r>
      <w:r w:rsidRPr="00313111">
        <w:rPr>
          <w:rFonts w:eastAsia="Times New Roman" w:cstheme="minorHAnsi"/>
        </w:rPr>
        <w:t xml:space="preserve">: Describe financial obligations related to virtual assets in various regulated activities. </w:t>
      </w:r>
    </w:p>
    <w:p w14:paraId="79303DB9" w14:textId="77777777" w:rsidR="00313111" w:rsidRPr="00313111" w:rsidRDefault="00313111" w:rsidP="006E6457">
      <w:pPr>
        <w:spacing w:after="0" w:line="240" w:lineRule="auto"/>
        <w:jc w:val="both"/>
        <w:rPr>
          <w:rFonts w:eastAsia="Times New Roman" w:cstheme="minorHAnsi"/>
        </w:rPr>
      </w:pPr>
    </w:p>
    <w:p w14:paraId="51CBA217" w14:textId="77777777" w:rsidR="00313111" w:rsidRDefault="00313111" w:rsidP="006E6457">
      <w:pPr>
        <w:pStyle w:val="ListParagraph"/>
        <w:numPr>
          <w:ilvl w:val="0"/>
          <w:numId w:val="146"/>
        </w:numPr>
        <w:spacing w:after="0" w:line="240" w:lineRule="auto"/>
        <w:jc w:val="both"/>
        <w:rPr>
          <w:rFonts w:eastAsia="Times New Roman" w:cstheme="minorHAnsi"/>
        </w:rPr>
      </w:pPr>
      <w:r w:rsidRPr="00B2686C">
        <w:rPr>
          <w:rFonts w:eastAsia="Times New Roman" w:cstheme="minorHAnsi"/>
        </w:rPr>
        <w:t>Applicants seeking Financial Services Permission for virtual asset-related activities pay an initial authorisation fee of $20,000</w:t>
      </w:r>
      <w:r w:rsidRPr="00313111">
        <w:rPr>
          <w:rFonts w:eastAsia="Times New Roman" w:cstheme="minorHAnsi"/>
        </w:rPr>
        <w:t>, increasing to $125,000 for Operating a Multilateral Trading Facility.</w:t>
      </w:r>
    </w:p>
    <w:p w14:paraId="672141DD" w14:textId="77777777" w:rsidR="00313111" w:rsidRPr="00313111" w:rsidRDefault="00313111" w:rsidP="006E6457">
      <w:pPr>
        <w:spacing w:after="0" w:line="240" w:lineRule="auto"/>
        <w:ind w:left="1080"/>
        <w:jc w:val="both"/>
        <w:rPr>
          <w:rFonts w:eastAsia="Times New Roman" w:cstheme="minorHAnsi"/>
        </w:rPr>
      </w:pPr>
    </w:p>
    <w:p w14:paraId="0C16260C" w14:textId="77777777" w:rsidR="00313111" w:rsidRDefault="00313111" w:rsidP="006E6457">
      <w:pPr>
        <w:pStyle w:val="ListParagraph"/>
        <w:numPr>
          <w:ilvl w:val="0"/>
          <w:numId w:val="146"/>
        </w:numPr>
        <w:spacing w:after="0" w:line="240" w:lineRule="auto"/>
        <w:jc w:val="both"/>
        <w:rPr>
          <w:rFonts w:eastAsia="Times New Roman" w:cstheme="minorHAnsi"/>
        </w:rPr>
      </w:pPr>
      <w:r w:rsidRPr="00313111">
        <w:rPr>
          <w:rFonts w:eastAsia="Times New Roman" w:cstheme="minorHAnsi"/>
        </w:rPr>
        <w:t>Authorised Persons in virtual asset-related regulated activities face an annual supervision fee of $15,000, or $60,000 for Multilateral Trading Facility operators.</w:t>
      </w:r>
    </w:p>
    <w:p w14:paraId="449421A7" w14:textId="77777777" w:rsidR="00313111" w:rsidRPr="00313111" w:rsidRDefault="00313111" w:rsidP="006E6457">
      <w:pPr>
        <w:spacing w:after="0" w:line="240" w:lineRule="auto"/>
        <w:jc w:val="both"/>
        <w:rPr>
          <w:rFonts w:eastAsia="Times New Roman" w:cstheme="minorHAnsi"/>
        </w:rPr>
      </w:pPr>
    </w:p>
    <w:p w14:paraId="48BE5E18" w14:textId="77777777" w:rsidR="00313111" w:rsidRDefault="00313111" w:rsidP="006E6457">
      <w:pPr>
        <w:pStyle w:val="ListParagraph"/>
        <w:numPr>
          <w:ilvl w:val="0"/>
          <w:numId w:val="146"/>
        </w:numPr>
        <w:spacing w:after="0" w:line="240" w:lineRule="auto"/>
        <w:jc w:val="both"/>
        <w:rPr>
          <w:rFonts w:eastAsia="Times New Roman" w:cstheme="minorHAnsi"/>
        </w:rPr>
      </w:pPr>
      <w:r w:rsidRPr="00313111">
        <w:rPr>
          <w:rFonts w:eastAsia="Times New Roman" w:cstheme="minorHAnsi"/>
        </w:rPr>
        <w:t>Those Providing Money Services pay an annual supervision fee of $25,000.</w:t>
      </w:r>
    </w:p>
    <w:p w14:paraId="037B6718" w14:textId="77777777" w:rsidR="00313111" w:rsidRPr="00313111" w:rsidRDefault="00313111" w:rsidP="006E6457">
      <w:pPr>
        <w:spacing w:after="0" w:line="240" w:lineRule="auto"/>
        <w:jc w:val="both"/>
        <w:rPr>
          <w:rFonts w:eastAsia="Times New Roman" w:cstheme="minorHAnsi"/>
        </w:rPr>
      </w:pPr>
    </w:p>
    <w:p w14:paraId="4A2CA05A" w14:textId="77777777" w:rsidR="00313111" w:rsidRDefault="00313111" w:rsidP="006E6457">
      <w:pPr>
        <w:pStyle w:val="ListParagraph"/>
        <w:numPr>
          <w:ilvl w:val="0"/>
          <w:numId w:val="146"/>
        </w:numPr>
        <w:spacing w:after="0" w:line="240" w:lineRule="auto"/>
        <w:jc w:val="both"/>
        <w:rPr>
          <w:rFonts w:eastAsia="Times New Roman" w:cstheme="minorHAnsi"/>
        </w:rPr>
      </w:pPr>
      <w:r w:rsidRPr="00313111">
        <w:rPr>
          <w:rFonts w:eastAsia="Times New Roman" w:cstheme="minorHAnsi"/>
        </w:rPr>
        <w:t>Initial authorisation fees for Spot Commodities or Trading in OTC Leveraged Products range from $20,000 to $125,000.</w:t>
      </w:r>
    </w:p>
    <w:p w14:paraId="101D253A" w14:textId="77777777" w:rsidR="00313111" w:rsidRPr="00313111" w:rsidRDefault="00313111" w:rsidP="006E6457">
      <w:pPr>
        <w:spacing w:after="0" w:line="240" w:lineRule="auto"/>
        <w:jc w:val="both"/>
        <w:rPr>
          <w:rFonts w:eastAsia="Times New Roman" w:cstheme="minorHAnsi"/>
        </w:rPr>
      </w:pPr>
    </w:p>
    <w:p w14:paraId="2D106A2C" w14:textId="77777777" w:rsidR="00313111" w:rsidRDefault="00313111" w:rsidP="006E6457">
      <w:pPr>
        <w:pStyle w:val="ListParagraph"/>
        <w:numPr>
          <w:ilvl w:val="0"/>
          <w:numId w:val="146"/>
        </w:numPr>
        <w:spacing w:after="0" w:line="240" w:lineRule="auto"/>
        <w:jc w:val="both"/>
        <w:rPr>
          <w:rFonts w:eastAsia="Times New Roman" w:cstheme="minorHAnsi"/>
        </w:rPr>
      </w:pPr>
      <w:r w:rsidRPr="00313111">
        <w:rPr>
          <w:rFonts w:eastAsia="Times New Roman" w:cstheme="minorHAnsi"/>
        </w:rPr>
        <w:t>Annual supervision fees for Spot Commodities are $15,000, and for Trading in OTC Leveraged Products, they range from $5,000 to $40,000, with the higher fee for Retail Clients.</w:t>
      </w:r>
    </w:p>
    <w:p w14:paraId="492315B1" w14:textId="77777777" w:rsidR="00313111" w:rsidRPr="00313111" w:rsidRDefault="00313111" w:rsidP="006E6457">
      <w:pPr>
        <w:spacing w:after="0" w:line="240" w:lineRule="auto"/>
        <w:jc w:val="both"/>
        <w:rPr>
          <w:rFonts w:eastAsia="Times New Roman" w:cstheme="minorHAnsi"/>
        </w:rPr>
      </w:pPr>
    </w:p>
    <w:p w14:paraId="69C5ECC7" w14:textId="77777777" w:rsidR="00313111" w:rsidRPr="00313111" w:rsidRDefault="00313111" w:rsidP="006E6457">
      <w:pPr>
        <w:pStyle w:val="ListParagraph"/>
        <w:numPr>
          <w:ilvl w:val="0"/>
          <w:numId w:val="146"/>
        </w:numPr>
        <w:spacing w:after="0" w:line="240" w:lineRule="auto"/>
        <w:jc w:val="both"/>
        <w:rPr>
          <w:rFonts w:eastAsia="Times New Roman" w:cstheme="minorHAnsi"/>
        </w:rPr>
      </w:pPr>
      <w:r w:rsidRPr="00313111">
        <w:rPr>
          <w:rFonts w:eastAsia="Times New Roman" w:cstheme="minorHAnsi"/>
        </w:rPr>
        <w:t>Authorised Persons Operating a Multilateral Trading Facility for virtual assets pay a monthly trading levy based on the Daily Trading Value (</w:t>
      </w:r>
      <w:r w:rsidRPr="00313111">
        <w:rPr>
          <w:rFonts w:eastAsia="Times New Roman" w:cstheme="minorHAnsi"/>
          <w:b/>
          <w:bCs/>
        </w:rPr>
        <w:t>DTV</w:t>
      </w:r>
      <w:r w:rsidRPr="00313111">
        <w:rPr>
          <w:rFonts w:eastAsia="Times New Roman" w:cstheme="minorHAnsi"/>
        </w:rPr>
        <w:t>) of Virtual Assets traded.</w:t>
      </w:r>
      <w:r w:rsidRPr="00313111">
        <w:rPr>
          <w:rFonts w:eastAsia="Times New Roman" w:cstheme="minorHAnsi"/>
          <w:vanish/>
        </w:rPr>
        <w:t>Top of Form</w:t>
      </w:r>
    </w:p>
    <w:p w14:paraId="6919837B" w14:textId="77777777" w:rsidR="00313111" w:rsidRPr="00313111" w:rsidRDefault="00313111" w:rsidP="006E6457">
      <w:pPr>
        <w:spacing w:after="0" w:line="240" w:lineRule="auto"/>
        <w:ind w:left="1080"/>
        <w:jc w:val="both"/>
        <w:rPr>
          <w:rFonts w:eastAsia="Times New Roman" w:cstheme="minorHAnsi"/>
        </w:rPr>
      </w:pPr>
    </w:p>
    <w:p w14:paraId="35E8FDEE" w14:textId="1569599D" w:rsidR="00313111" w:rsidRDefault="00313111" w:rsidP="006E6457">
      <w:pPr>
        <w:numPr>
          <w:ilvl w:val="0"/>
          <w:numId w:val="143"/>
        </w:numPr>
        <w:spacing w:after="0" w:line="240" w:lineRule="auto"/>
        <w:ind w:left="1080"/>
        <w:jc w:val="both"/>
        <w:rPr>
          <w:rFonts w:eastAsia="Times New Roman" w:cstheme="minorHAnsi"/>
        </w:rPr>
      </w:pPr>
      <w:r w:rsidRPr="00313111">
        <w:rPr>
          <w:rFonts w:eastAsia="Times New Roman" w:cstheme="minorHAnsi"/>
          <w:u w:val="single"/>
        </w:rPr>
        <w:t>The General Rulebook (</w:t>
      </w:r>
      <w:hyperlink r:id="rId32" w:history="1">
        <w:r w:rsidRPr="00313111">
          <w:rPr>
            <w:rStyle w:val="Hyperlink"/>
            <w:rFonts w:eastAsia="Times New Roman" w:cstheme="minorHAnsi"/>
            <w:b/>
            <w:bCs/>
            <w:color w:val="FF6E00"/>
          </w:rPr>
          <w:t>GEN</w:t>
        </w:r>
      </w:hyperlink>
      <w:r w:rsidRPr="00313111">
        <w:rPr>
          <w:rFonts w:eastAsia="Times New Roman" w:cstheme="minorHAnsi"/>
          <w:u w:val="single"/>
        </w:rPr>
        <w:t>)</w:t>
      </w:r>
      <w:r w:rsidRPr="00313111">
        <w:rPr>
          <w:rFonts w:eastAsia="Times New Roman" w:cstheme="minorHAnsi"/>
        </w:rPr>
        <w:t>: Establishes regulations for entities under the FSMR 2015 or Market Infrastructure Rules, excluding Remote Bodies. In the context of virtual assets, it covers fundamental principles for Authorised, Approved, and Recognised Persons, addressing management, controls, interpretation, emergency procedures, disclosure, office location, and communication with the Regulator. It describes conditions for authorisation, including Controlled Functions, Approved Persons, and Recognised Persons. Financial Crime rules focus on fraud management, emphasising secure authentication and monitoring customer behavior. GEN also includes guidelines for corporate governance, specifying criteria for the Governing Body and disclosure of remuneration structures concerning virtual assets.</w:t>
      </w:r>
    </w:p>
    <w:p w14:paraId="477E265D" w14:textId="77777777" w:rsidR="00313111" w:rsidRPr="00313111" w:rsidRDefault="00313111" w:rsidP="006E6457">
      <w:pPr>
        <w:spacing w:after="0" w:line="240" w:lineRule="auto"/>
        <w:ind w:left="1080"/>
        <w:jc w:val="both"/>
        <w:rPr>
          <w:rFonts w:eastAsia="Times New Roman" w:cstheme="minorHAnsi"/>
        </w:rPr>
      </w:pPr>
    </w:p>
    <w:p w14:paraId="0DF65401" w14:textId="0C2C2A8F" w:rsidR="00E863F6" w:rsidRPr="00313111" w:rsidRDefault="00313111" w:rsidP="006E6457">
      <w:pPr>
        <w:numPr>
          <w:ilvl w:val="0"/>
          <w:numId w:val="143"/>
        </w:numPr>
        <w:spacing w:after="0" w:line="240" w:lineRule="auto"/>
        <w:ind w:left="1080"/>
        <w:jc w:val="both"/>
        <w:rPr>
          <w:rFonts w:eastAsia="Times New Roman" w:cstheme="minorHAnsi"/>
        </w:rPr>
      </w:pPr>
      <w:r w:rsidRPr="001A6F82">
        <w:rPr>
          <w:rFonts w:eastAsia="Times New Roman" w:cstheme="minorHAnsi"/>
          <w:u w:val="single"/>
        </w:rPr>
        <w:t>The Market Infrastructure Rulebook (</w:t>
      </w:r>
      <w:hyperlink r:id="rId33" w:history="1">
        <w:r w:rsidRPr="001A6F82">
          <w:rPr>
            <w:rStyle w:val="Hyperlink"/>
            <w:rFonts w:eastAsia="Times New Roman" w:cstheme="minorHAnsi"/>
            <w:b/>
            <w:bCs/>
            <w:color w:val="FF6E00"/>
          </w:rPr>
          <w:t>MIR</w:t>
        </w:r>
      </w:hyperlink>
      <w:r w:rsidRPr="001A6F82">
        <w:rPr>
          <w:rFonts w:eastAsia="Times New Roman" w:cstheme="minorHAnsi"/>
          <w:u w:val="single"/>
        </w:rPr>
        <w:t>)</w:t>
      </w:r>
      <w:r w:rsidRPr="001A6F82">
        <w:rPr>
          <w:rFonts w:eastAsia="Times New Roman" w:cstheme="minorHAnsi"/>
        </w:rPr>
        <w:t xml:space="preserve">: MIR defines criteria for membership and access to financial facilities, emphasising the need for appropriate </w:t>
      </w:r>
      <w:r w:rsidRPr="00313111">
        <w:rPr>
          <w:rFonts w:eastAsia="Times New Roman" w:cstheme="minorHAnsi"/>
        </w:rPr>
        <w:t>procedures in making and amending rules. It further outlines rules for Remote Members and Bodies and encompasses general provisions covering cooperation with auditors, disciplinary actions, and appeals processes. The MIR establishes a comprehensive regulatory framework for financial institutions operating within the ADGM, ensuring adherence to guidelines related to virtual assets and market infrastructure.</w:t>
      </w:r>
    </w:p>
    <w:p w14:paraId="3E652D49" w14:textId="77777777" w:rsidR="00B36B1B" w:rsidRPr="00B36B1B" w:rsidRDefault="00B36B1B" w:rsidP="006E6457">
      <w:pPr>
        <w:spacing w:after="0" w:line="240" w:lineRule="auto"/>
        <w:jc w:val="both"/>
        <w:rPr>
          <w:rFonts w:eastAsia="Times New Roman" w:cstheme="minorHAnsi"/>
          <w:b/>
          <w:bCs/>
          <w:u w:val="single"/>
          <w:lang w:val="en-SG"/>
        </w:rPr>
      </w:pPr>
    </w:p>
    <w:p w14:paraId="0FC549EA" w14:textId="76ADFC16" w:rsidR="00510F00" w:rsidRPr="00644B77" w:rsidRDefault="009E6883" w:rsidP="006E645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Who do such laws and regulations apply to?</w:t>
      </w:r>
    </w:p>
    <w:p w14:paraId="7F39DB91" w14:textId="77777777" w:rsidR="004311E2" w:rsidRPr="00644B77" w:rsidRDefault="004311E2" w:rsidP="006E6457">
      <w:pPr>
        <w:spacing w:after="0" w:line="240" w:lineRule="auto"/>
        <w:ind w:left="360"/>
        <w:jc w:val="both"/>
        <w:rPr>
          <w:rFonts w:eastAsia="Times New Roman" w:cstheme="minorHAnsi"/>
          <w:b/>
          <w:bCs/>
          <w:u w:val="single"/>
          <w:lang w:val="en-SG"/>
        </w:rPr>
      </w:pPr>
    </w:p>
    <w:p w14:paraId="21F72DBD" w14:textId="77777777" w:rsidR="00313111" w:rsidRDefault="00313111" w:rsidP="006E6457">
      <w:pPr>
        <w:spacing w:after="0" w:line="240" w:lineRule="auto"/>
        <w:ind w:left="360"/>
        <w:jc w:val="both"/>
        <w:rPr>
          <w:rFonts w:eastAsia="Times New Roman" w:cstheme="minorHAnsi"/>
        </w:rPr>
      </w:pPr>
      <w:r w:rsidRPr="00313111">
        <w:rPr>
          <w:rFonts w:eastAsia="Times New Roman" w:cstheme="minorHAnsi"/>
        </w:rPr>
        <w:t>The regulatory framework covering virtual asset activities generally applies to:</w:t>
      </w:r>
    </w:p>
    <w:p w14:paraId="716F6853" w14:textId="77777777" w:rsidR="00040DC8" w:rsidRPr="00313111" w:rsidRDefault="00040DC8" w:rsidP="006E6457">
      <w:pPr>
        <w:spacing w:after="0" w:line="240" w:lineRule="auto"/>
        <w:jc w:val="both"/>
        <w:rPr>
          <w:rFonts w:eastAsia="Times New Roman" w:cstheme="minorHAnsi"/>
          <w:b/>
          <w:bCs/>
        </w:rPr>
      </w:pPr>
    </w:p>
    <w:p w14:paraId="22A27E75" w14:textId="77777777" w:rsidR="00313111" w:rsidRDefault="00313111" w:rsidP="006E6457">
      <w:pPr>
        <w:numPr>
          <w:ilvl w:val="0"/>
          <w:numId w:val="145"/>
        </w:numPr>
        <w:spacing w:after="0" w:line="240" w:lineRule="auto"/>
        <w:jc w:val="both"/>
        <w:rPr>
          <w:rFonts w:eastAsia="Times New Roman" w:cstheme="minorHAnsi"/>
        </w:rPr>
      </w:pPr>
      <w:proofErr w:type="gramStart"/>
      <w:r w:rsidRPr="00313111">
        <w:rPr>
          <w:rFonts w:eastAsia="Times New Roman" w:cstheme="minorHAnsi"/>
        </w:rPr>
        <w:lastRenderedPageBreak/>
        <w:t>Persons</w:t>
      </w:r>
      <w:proofErr w:type="gramEnd"/>
      <w:r w:rsidRPr="00313111">
        <w:rPr>
          <w:rFonts w:eastAsia="Times New Roman" w:cstheme="minorHAnsi"/>
        </w:rPr>
        <w:t xml:space="preserve"> engaged in the business of "Providing Virtual Asset Services",</w:t>
      </w:r>
    </w:p>
    <w:p w14:paraId="6F1DAF42" w14:textId="77777777" w:rsidR="005F132A" w:rsidRPr="00313111" w:rsidRDefault="005F132A" w:rsidP="005F132A">
      <w:pPr>
        <w:spacing w:after="0" w:line="240" w:lineRule="auto"/>
        <w:ind w:left="1080"/>
        <w:jc w:val="both"/>
        <w:rPr>
          <w:rFonts w:eastAsia="Times New Roman" w:cstheme="minorHAnsi"/>
        </w:rPr>
      </w:pPr>
    </w:p>
    <w:p w14:paraId="4EDA1D54" w14:textId="77777777" w:rsidR="00313111" w:rsidRDefault="00313111" w:rsidP="006E6457">
      <w:pPr>
        <w:numPr>
          <w:ilvl w:val="0"/>
          <w:numId w:val="145"/>
        </w:numPr>
        <w:spacing w:after="0" w:line="240" w:lineRule="auto"/>
        <w:jc w:val="both"/>
        <w:rPr>
          <w:rFonts w:eastAsia="Times New Roman" w:cstheme="minorHAnsi"/>
        </w:rPr>
      </w:pPr>
      <w:proofErr w:type="gramStart"/>
      <w:r w:rsidRPr="00313111">
        <w:rPr>
          <w:rFonts w:eastAsia="Times New Roman" w:cstheme="minorHAnsi"/>
        </w:rPr>
        <w:t>Persons</w:t>
      </w:r>
      <w:proofErr w:type="gramEnd"/>
      <w:r w:rsidRPr="00313111">
        <w:rPr>
          <w:rFonts w:eastAsia="Times New Roman" w:cstheme="minorHAnsi"/>
        </w:rPr>
        <w:t xml:space="preserve"> operating a Crypto Asset Exchange,</w:t>
      </w:r>
    </w:p>
    <w:p w14:paraId="10ACE936" w14:textId="77777777" w:rsidR="005F132A" w:rsidRPr="00313111" w:rsidRDefault="005F132A" w:rsidP="005F132A">
      <w:pPr>
        <w:spacing w:after="0" w:line="240" w:lineRule="auto"/>
        <w:jc w:val="both"/>
        <w:rPr>
          <w:rFonts w:eastAsia="Times New Roman" w:cstheme="minorHAnsi"/>
        </w:rPr>
      </w:pPr>
    </w:p>
    <w:p w14:paraId="20A3FCA7" w14:textId="77777777" w:rsidR="00313111" w:rsidRDefault="00313111" w:rsidP="006E6457">
      <w:pPr>
        <w:numPr>
          <w:ilvl w:val="0"/>
          <w:numId w:val="145"/>
        </w:numPr>
        <w:spacing w:after="0" w:line="240" w:lineRule="auto"/>
        <w:jc w:val="both"/>
        <w:rPr>
          <w:rFonts w:eastAsia="Times New Roman" w:cstheme="minorHAnsi"/>
        </w:rPr>
      </w:pPr>
      <w:proofErr w:type="gramStart"/>
      <w:r w:rsidRPr="00313111">
        <w:rPr>
          <w:rFonts w:eastAsia="Times New Roman" w:cstheme="minorHAnsi"/>
        </w:rPr>
        <w:t>Persons</w:t>
      </w:r>
      <w:proofErr w:type="gramEnd"/>
      <w:r w:rsidRPr="00313111">
        <w:rPr>
          <w:rFonts w:eastAsia="Times New Roman" w:cstheme="minorHAnsi"/>
        </w:rPr>
        <w:t xml:space="preserve"> running a Crypto Asset OTC desk,</w:t>
      </w:r>
    </w:p>
    <w:p w14:paraId="03CA706E" w14:textId="77777777" w:rsidR="005F132A" w:rsidRPr="00313111" w:rsidRDefault="005F132A" w:rsidP="005F132A">
      <w:pPr>
        <w:spacing w:after="0" w:line="240" w:lineRule="auto"/>
        <w:jc w:val="both"/>
        <w:rPr>
          <w:rFonts w:eastAsia="Times New Roman" w:cstheme="minorHAnsi"/>
        </w:rPr>
      </w:pPr>
    </w:p>
    <w:p w14:paraId="4E20640A" w14:textId="77777777" w:rsidR="00313111" w:rsidRDefault="00313111" w:rsidP="006E6457">
      <w:pPr>
        <w:numPr>
          <w:ilvl w:val="0"/>
          <w:numId w:val="145"/>
        </w:numPr>
        <w:spacing w:after="0" w:line="240" w:lineRule="auto"/>
        <w:jc w:val="both"/>
        <w:rPr>
          <w:rFonts w:eastAsia="Times New Roman" w:cstheme="minorHAnsi"/>
        </w:rPr>
      </w:pPr>
      <w:r w:rsidRPr="00313111">
        <w:rPr>
          <w:rFonts w:eastAsia="Times New Roman" w:cstheme="minorHAnsi"/>
        </w:rPr>
        <w:t>Commercial Firms,</w:t>
      </w:r>
    </w:p>
    <w:p w14:paraId="0C389246" w14:textId="77777777" w:rsidR="005F132A" w:rsidRPr="00313111" w:rsidRDefault="005F132A" w:rsidP="005F132A">
      <w:pPr>
        <w:spacing w:after="0" w:line="240" w:lineRule="auto"/>
        <w:jc w:val="both"/>
        <w:rPr>
          <w:rFonts w:eastAsia="Times New Roman" w:cstheme="minorHAnsi"/>
        </w:rPr>
      </w:pPr>
    </w:p>
    <w:p w14:paraId="4BAAB783" w14:textId="77777777" w:rsidR="00313111" w:rsidRDefault="00313111" w:rsidP="006E6457">
      <w:pPr>
        <w:numPr>
          <w:ilvl w:val="0"/>
          <w:numId w:val="145"/>
        </w:numPr>
        <w:spacing w:after="0" w:line="240" w:lineRule="auto"/>
        <w:jc w:val="both"/>
        <w:rPr>
          <w:rFonts w:eastAsia="Times New Roman" w:cstheme="minorHAnsi"/>
        </w:rPr>
      </w:pPr>
      <w:r w:rsidRPr="00313111">
        <w:rPr>
          <w:rFonts w:eastAsia="Times New Roman" w:cstheme="minorHAnsi"/>
        </w:rPr>
        <w:t>Financial Institutions, and</w:t>
      </w:r>
    </w:p>
    <w:p w14:paraId="2D70D069" w14:textId="77777777" w:rsidR="005F132A" w:rsidRPr="00313111" w:rsidRDefault="005F132A" w:rsidP="005F132A">
      <w:pPr>
        <w:spacing w:after="0" w:line="240" w:lineRule="auto"/>
        <w:jc w:val="both"/>
        <w:rPr>
          <w:rFonts w:eastAsia="Times New Roman" w:cstheme="minorHAnsi"/>
        </w:rPr>
      </w:pPr>
    </w:p>
    <w:p w14:paraId="3F841468" w14:textId="3139B488" w:rsidR="00B36B1B" w:rsidRPr="00313111" w:rsidRDefault="00313111" w:rsidP="006E6457">
      <w:pPr>
        <w:numPr>
          <w:ilvl w:val="0"/>
          <w:numId w:val="145"/>
        </w:numPr>
        <w:spacing w:after="0" w:line="240" w:lineRule="auto"/>
        <w:jc w:val="both"/>
        <w:rPr>
          <w:rFonts w:eastAsia="Times New Roman" w:cstheme="minorHAnsi"/>
        </w:rPr>
      </w:pPr>
      <w:r w:rsidRPr="00313111">
        <w:rPr>
          <w:rFonts w:eastAsia="Times New Roman" w:cstheme="minorHAnsi"/>
        </w:rPr>
        <w:t>Individual participants dealing with cryptocurrencies and virtual assets.</w:t>
      </w:r>
    </w:p>
    <w:p w14:paraId="7160E400" w14:textId="77777777" w:rsidR="0028403B" w:rsidRDefault="0028403B" w:rsidP="006E6457">
      <w:pPr>
        <w:spacing w:after="0" w:line="240" w:lineRule="auto"/>
        <w:ind w:left="360"/>
        <w:jc w:val="both"/>
        <w:rPr>
          <w:rFonts w:eastAsia="Times New Roman" w:cstheme="minorHAnsi"/>
          <w:lang w:val="en-SG"/>
        </w:rPr>
      </w:pPr>
    </w:p>
    <w:p w14:paraId="524C34C3" w14:textId="6A14A48F" w:rsidR="00A01017" w:rsidRPr="00A01017" w:rsidRDefault="00A01017" w:rsidP="006E6457">
      <w:pPr>
        <w:spacing w:after="0" w:line="240" w:lineRule="auto"/>
        <w:ind w:left="360"/>
        <w:jc w:val="both"/>
        <w:rPr>
          <w:rFonts w:eastAsia="Times New Roman" w:cstheme="minorHAnsi"/>
          <w:b/>
          <w:bCs/>
          <w:u w:val="single"/>
        </w:rPr>
      </w:pPr>
      <w:r w:rsidRPr="00A01017">
        <w:rPr>
          <w:rFonts w:eastAsia="Times New Roman" w:cstheme="minorHAnsi"/>
          <w:b/>
          <w:bCs/>
          <w:u w:val="single"/>
        </w:rPr>
        <w:t xml:space="preserve">Who are the relevant regulatory authorities in relation to virtual assets </w:t>
      </w:r>
      <w:r w:rsidR="00DD2CD2">
        <w:rPr>
          <w:rFonts w:eastAsia="Times New Roman" w:cstheme="minorHAnsi"/>
          <w:b/>
          <w:bCs/>
          <w:u w:val="single"/>
        </w:rPr>
        <w:t>in Abu Dhabi</w:t>
      </w:r>
      <w:r w:rsidRPr="00A01017">
        <w:rPr>
          <w:rFonts w:eastAsia="Times New Roman" w:cstheme="minorHAnsi"/>
          <w:b/>
          <w:bCs/>
          <w:u w:val="single"/>
        </w:rPr>
        <w:t>?</w:t>
      </w:r>
    </w:p>
    <w:p w14:paraId="6B9AF5EC" w14:textId="77777777" w:rsidR="00A01017" w:rsidRPr="00A01017" w:rsidRDefault="00A01017" w:rsidP="006E6457">
      <w:pPr>
        <w:spacing w:after="0" w:line="240" w:lineRule="auto"/>
        <w:ind w:left="360"/>
        <w:jc w:val="both"/>
        <w:rPr>
          <w:rFonts w:eastAsia="Times New Roman" w:cstheme="minorHAnsi"/>
          <w:u w:val="single"/>
        </w:rPr>
      </w:pPr>
    </w:p>
    <w:p w14:paraId="33F82911" w14:textId="63892CEE" w:rsidR="00A01017" w:rsidRPr="0040309D" w:rsidRDefault="0040309D" w:rsidP="006E6457">
      <w:pPr>
        <w:spacing w:after="0" w:line="240" w:lineRule="auto"/>
        <w:ind w:left="360"/>
        <w:jc w:val="both"/>
        <w:rPr>
          <w:rFonts w:eastAsia="Times New Roman" w:cstheme="minorHAnsi"/>
          <w:u w:val="single"/>
        </w:rPr>
      </w:pPr>
      <w:r w:rsidRPr="0040309D">
        <w:rPr>
          <w:rFonts w:eastAsia="Times New Roman" w:cstheme="minorHAnsi"/>
        </w:rPr>
        <w:t>The regulatory authorities governing virtual assets include the Financial Services Regulatory Authority (</w:t>
      </w:r>
      <w:r w:rsidRPr="0040309D">
        <w:rPr>
          <w:rFonts w:eastAsia="Times New Roman" w:cstheme="minorHAnsi"/>
          <w:b/>
          <w:bCs/>
        </w:rPr>
        <w:t>FSRA</w:t>
      </w:r>
      <w:r w:rsidRPr="0040309D">
        <w:rPr>
          <w:rFonts w:eastAsia="Times New Roman" w:cstheme="minorHAnsi"/>
        </w:rPr>
        <w:t>). The FSRA in Abu Dhabi functions as a primary regulatory body with the responsibility of overseeing and regulating financial services and markets within the ADGM. Its roles include developing and enforcing regulatory frameworks, issuing licenses to financial institutions, and overseeing compliance with relevant laws and regulations.</w:t>
      </w:r>
    </w:p>
    <w:p w14:paraId="5A0FBBEA" w14:textId="77777777" w:rsidR="0028403B" w:rsidRPr="00644B77" w:rsidRDefault="0028403B" w:rsidP="006E6457">
      <w:pPr>
        <w:spacing w:after="0" w:line="240" w:lineRule="auto"/>
        <w:ind w:left="360"/>
        <w:jc w:val="both"/>
        <w:rPr>
          <w:rFonts w:eastAsia="Times New Roman" w:cstheme="minorHAnsi"/>
          <w:lang w:val="en-SG"/>
        </w:rPr>
      </w:pPr>
    </w:p>
    <w:p w14:paraId="26700E37" w14:textId="73D5BEFF" w:rsidR="00775445" w:rsidRPr="00644B77" w:rsidRDefault="009E6883" w:rsidP="006E645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What are the penalties for breaches of virtual asset laws and regulations </w:t>
      </w:r>
      <w:r w:rsidR="00DD2CD2">
        <w:rPr>
          <w:rFonts w:eastAsia="Times New Roman" w:cstheme="minorHAnsi"/>
          <w:b/>
          <w:bCs/>
          <w:u w:val="single"/>
          <w:lang w:val="en-SG"/>
        </w:rPr>
        <w:t>in Abu Dhabi</w:t>
      </w:r>
      <w:r w:rsidRPr="00644B77">
        <w:rPr>
          <w:rFonts w:eastAsia="Times New Roman" w:cstheme="minorHAnsi"/>
          <w:b/>
          <w:bCs/>
          <w:u w:val="single"/>
          <w:lang w:val="en-SG"/>
        </w:rPr>
        <w:t>?</w:t>
      </w:r>
    </w:p>
    <w:p w14:paraId="3F999FEC" w14:textId="77777777" w:rsidR="00775445" w:rsidRPr="00644B77" w:rsidRDefault="00775445" w:rsidP="006E6457">
      <w:pPr>
        <w:spacing w:after="0" w:line="240" w:lineRule="auto"/>
        <w:ind w:left="360"/>
        <w:jc w:val="both"/>
        <w:rPr>
          <w:rFonts w:eastAsia="Times New Roman" w:cstheme="minorHAnsi"/>
          <w:b/>
          <w:bCs/>
          <w:u w:val="single"/>
          <w:lang w:val="en-SG"/>
        </w:rPr>
      </w:pPr>
    </w:p>
    <w:p w14:paraId="2AB72768" w14:textId="77777777" w:rsidR="00056ED2" w:rsidRDefault="00056ED2" w:rsidP="006E6457">
      <w:pPr>
        <w:spacing w:after="0" w:line="240" w:lineRule="auto"/>
        <w:ind w:left="360"/>
        <w:jc w:val="both"/>
        <w:rPr>
          <w:rFonts w:eastAsia="Times New Roman" w:cstheme="minorHAnsi"/>
        </w:rPr>
      </w:pPr>
      <w:r w:rsidRPr="00056ED2">
        <w:rPr>
          <w:rFonts w:eastAsia="Times New Roman" w:cstheme="minorHAnsi"/>
        </w:rPr>
        <w:t xml:space="preserve">The applicable fines for contraventions related to virtual assets and crypto asset activities range from USD 150 to USD 50,000, with some exceeding that limit for certain cases. Penalties for breaches of virtual assets laws and regulations may also include sanctions, suspension or revocation of licenses, and even criminal prosecutions. </w:t>
      </w:r>
    </w:p>
    <w:p w14:paraId="3023D7A2" w14:textId="77777777" w:rsidR="00056ED2" w:rsidRPr="00056ED2" w:rsidRDefault="00056ED2" w:rsidP="006E6457">
      <w:pPr>
        <w:spacing w:after="0" w:line="240" w:lineRule="auto"/>
        <w:ind w:left="360"/>
        <w:jc w:val="both"/>
        <w:rPr>
          <w:rFonts w:eastAsia="Times New Roman" w:cstheme="minorHAnsi"/>
        </w:rPr>
      </w:pPr>
    </w:p>
    <w:p w14:paraId="78CF9EED" w14:textId="00B6A448" w:rsidR="00B36B1B" w:rsidRPr="00056ED2" w:rsidRDefault="00056ED2" w:rsidP="006E6457">
      <w:pPr>
        <w:spacing w:after="0" w:line="240" w:lineRule="auto"/>
        <w:ind w:left="360"/>
        <w:jc w:val="both"/>
        <w:rPr>
          <w:rFonts w:eastAsia="Times New Roman" w:cstheme="minorHAnsi"/>
        </w:rPr>
      </w:pPr>
      <w:r w:rsidRPr="00056ED2">
        <w:rPr>
          <w:rFonts w:eastAsia="Times New Roman" w:cstheme="minorHAnsi"/>
        </w:rPr>
        <w:t xml:space="preserve">Furthermore, the FSMR, 2015 contain provisions related to market abuse, which can create liability for </w:t>
      </w:r>
      <w:proofErr w:type="gramStart"/>
      <w:r w:rsidRPr="00056ED2">
        <w:rPr>
          <w:rFonts w:eastAsia="Times New Roman" w:cstheme="minorHAnsi"/>
        </w:rPr>
        <w:t>persons</w:t>
      </w:r>
      <w:proofErr w:type="gramEnd"/>
      <w:r w:rsidRPr="00056ED2">
        <w:rPr>
          <w:rFonts w:eastAsia="Times New Roman" w:cstheme="minorHAnsi"/>
        </w:rPr>
        <w:t xml:space="preserve"> or entities who engage in insider trading or market manipulation concerning virtual assets or crypto currencies. Non-compliance with the relevant laws and regulations can result in significant fines and reputational damage to the offending firms or individuals involved in virtual asset activities.</w:t>
      </w:r>
    </w:p>
    <w:p w14:paraId="0198915E" w14:textId="77777777" w:rsidR="0028403B" w:rsidRPr="00644B77" w:rsidRDefault="0028403B" w:rsidP="006E6457">
      <w:pPr>
        <w:spacing w:after="0" w:line="240" w:lineRule="auto"/>
        <w:jc w:val="both"/>
        <w:rPr>
          <w:rFonts w:eastAsia="Times New Roman" w:cstheme="minorHAnsi"/>
          <w:b/>
          <w:bCs/>
          <w:u w:val="single"/>
          <w:lang w:val="en-SG"/>
        </w:rPr>
      </w:pPr>
    </w:p>
    <w:p w14:paraId="25A039B7" w14:textId="1648F3DC" w:rsidR="009E6883" w:rsidRPr="00644B77" w:rsidRDefault="009E6883" w:rsidP="006E6457">
      <w:pPr>
        <w:pStyle w:val="ListParagraph"/>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 xml:space="preserve">Regulation of virtual assets and offerings of virtual assets </w:t>
      </w:r>
      <w:r w:rsidR="00DD2CD2">
        <w:rPr>
          <w:rFonts w:eastAsia="Times New Roman" w:cstheme="minorHAnsi"/>
          <w:b/>
          <w:lang w:val="en-SG"/>
        </w:rPr>
        <w:t>in Abu Dhabi</w:t>
      </w:r>
    </w:p>
    <w:p w14:paraId="4A6169F4" w14:textId="77777777" w:rsidR="00A97D87" w:rsidRPr="00644B77" w:rsidRDefault="00A97D87" w:rsidP="006E6457">
      <w:pPr>
        <w:spacing w:after="0" w:line="240" w:lineRule="auto"/>
        <w:jc w:val="both"/>
        <w:rPr>
          <w:rFonts w:eastAsia="Times New Roman" w:cstheme="minorHAnsi"/>
          <w:b/>
          <w:lang w:val="en-SG"/>
        </w:rPr>
      </w:pPr>
    </w:p>
    <w:p w14:paraId="29FB8E56" w14:textId="3DDEDE7F" w:rsidR="009E6883" w:rsidRPr="00644B77" w:rsidRDefault="009E6883" w:rsidP="006E645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Are virtual assets classified as ‘</w:t>
      </w:r>
      <w:proofErr w:type="gramStart"/>
      <w:r w:rsidR="00056ED2">
        <w:rPr>
          <w:rFonts w:eastAsia="Times New Roman" w:cstheme="minorHAnsi"/>
          <w:b/>
          <w:bCs/>
          <w:u w:val="single"/>
          <w:lang w:val="en-SG"/>
        </w:rPr>
        <w:t>securities</w:t>
      </w:r>
      <w:r w:rsidR="00886131" w:rsidRPr="00644B77">
        <w:rPr>
          <w:rFonts w:eastAsia="Times New Roman" w:cstheme="minorHAnsi"/>
          <w:b/>
          <w:bCs/>
          <w:u w:val="single"/>
          <w:lang w:val="en-SG"/>
        </w:rPr>
        <w:t>’</w:t>
      </w:r>
      <w:proofErr w:type="gramEnd"/>
      <w:r w:rsidRPr="00644B77">
        <w:rPr>
          <w:rFonts w:eastAsia="Times New Roman" w:cstheme="minorHAnsi"/>
          <w:b/>
          <w:bCs/>
          <w:u w:val="single"/>
          <w:lang w:val="en-SG"/>
        </w:rPr>
        <w:t xml:space="preserve"> or other regulated financial instruments </w:t>
      </w:r>
      <w:r w:rsidR="00DD2CD2">
        <w:rPr>
          <w:rFonts w:eastAsia="Times New Roman" w:cstheme="minorHAnsi"/>
          <w:b/>
          <w:bCs/>
          <w:u w:val="single"/>
          <w:lang w:val="en-SG"/>
        </w:rPr>
        <w:t>in Abu Dhabi</w:t>
      </w:r>
      <w:r w:rsidRPr="00644B77">
        <w:rPr>
          <w:rFonts w:eastAsia="Times New Roman" w:cstheme="minorHAnsi"/>
          <w:b/>
          <w:bCs/>
          <w:u w:val="single"/>
          <w:lang w:val="en-SG"/>
        </w:rPr>
        <w:t>?</w:t>
      </w:r>
    </w:p>
    <w:p w14:paraId="1ECEA135" w14:textId="77777777" w:rsidR="00A97D87" w:rsidRPr="00644B77" w:rsidRDefault="00A97D87" w:rsidP="006E6457">
      <w:pPr>
        <w:spacing w:after="0" w:line="240" w:lineRule="auto"/>
        <w:ind w:left="360"/>
        <w:jc w:val="both"/>
        <w:rPr>
          <w:rFonts w:eastAsia="Times New Roman" w:cstheme="minorHAnsi"/>
          <w:b/>
          <w:bCs/>
          <w:lang w:val="en-SG"/>
        </w:rPr>
      </w:pPr>
    </w:p>
    <w:p w14:paraId="2A0A83A2" w14:textId="77777777" w:rsidR="00056ED2" w:rsidRDefault="00056ED2" w:rsidP="006E6457">
      <w:pPr>
        <w:spacing w:after="0" w:line="240" w:lineRule="auto"/>
        <w:ind w:left="360"/>
        <w:jc w:val="both"/>
        <w:rPr>
          <w:rFonts w:eastAsia="Times New Roman" w:cstheme="minorHAnsi"/>
        </w:rPr>
      </w:pPr>
      <w:r w:rsidRPr="00056ED2">
        <w:rPr>
          <w:rFonts w:eastAsia="Times New Roman" w:cstheme="minorHAnsi"/>
        </w:rPr>
        <w:t>Virtual assets are generally not automatically classified as investments or other regulated financial instruments. Digital Securities are regulated as Specified Investments under the Financial Services and Market Regulations (</w:t>
      </w:r>
      <w:r w:rsidRPr="00056ED2">
        <w:rPr>
          <w:rFonts w:eastAsia="Times New Roman" w:cstheme="minorHAnsi"/>
          <w:b/>
          <w:bCs/>
        </w:rPr>
        <w:t>FSMR</w:t>
      </w:r>
      <w:r w:rsidRPr="00056ED2">
        <w:rPr>
          <w:rFonts w:eastAsia="Times New Roman" w:cstheme="minorHAnsi"/>
        </w:rPr>
        <w:t xml:space="preserve">), while virtual assets are treated as commodities and, therefore, not deemed specified investments under the FSMR. </w:t>
      </w:r>
    </w:p>
    <w:p w14:paraId="3F7641EC" w14:textId="77777777" w:rsidR="00056ED2" w:rsidRPr="00056ED2" w:rsidRDefault="00056ED2" w:rsidP="006E6457">
      <w:pPr>
        <w:spacing w:after="0" w:line="240" w:lineRule="auto"/>
        <w:ind w:left="360"/>
        <w:jc w:val="both"/>
        <w:rPr>
          <w:rFonts w:eastAsia="Times New Roman" w:cstheme="minorHAnsi"/>
        </w:rPr>
      </w:pPr>
    </w:p>
    <w:p w14:paraId="303C28DC" w14:textId="0BE2859A" w:rsidR="00B36B1B" w:rsidRDefault="00056ED2" w:rsidP="006E6457">
      <w:pPr>
        <w:spacing w:after="0" w:line="240" w:lineRule="auto"/>
        <w:ind w:left="360"/>
        <w:jc w:val="both"/>
        <w:rPr>
          <w:rFonts w:eastAsia="Times New Roman" w:cstheme="minorHAnsi"/>
        </w:rPr>
      </w:pPr>
      <w:r w:rsidRPr="00056ED2">
        <w:rPr>
          <w:rFonts w:eastAsia="Times New Roman" w:cstheme="minorHAnsi"/>
        </w:rPr>
        <w:t>The regulatory requirements for authorised persons engaged in regulated activities in relation to virtual assets, such as capital requirements, anti-money laundering, and countering financing of terrorism, are explained in the document called ‘</w:t>
      </w:r>
      <w:hyperlink r:id="rId34" w:history="1">
        <w:r w:rsidRPr="00056ED2">
          <w:rPr>
            <w:rStyle w:val="Hyperlink"/>
            <w:rFonts w:eastAsia="Times New Roman" w:cstheme="minorHAnsi"/>
            <w:color w:val="FF6E00"/>
            <w:u w:val="none"/>
          </w:rPr>
          <w:t>Guidance- Regulation of Virtual Assets Activities in ADGM</w:t>
        </w:r>
      </w:hyperlink>
      <w:r w:rsidRPr="00056ED2">
        <w:rPr>
          <w:rFonts w:eastAsia="Times New Roman" w:cstheme="minorHAnsi"/>
        </w:rPr>
        <w:t xml:space="preserve">’. </w:t>
      </w:r>
    </w:p>
    <w:p w14:paraId="3CFDBC78" w14:textId="77777777" w:rsidR="00056ED2" w:rsidRPr="00644B77" w:rsidRDefault="00056ED2" w:rsidP="006E6457">
      <w:pPr>
        <w:spacing w:after="0" w:line="240" w:lineRule="auto"/>
        <w:jc w:val="both"/>
        <w:rPr>
          <w:rFonts w:eastAsia="Times New Roman" w:cstheme="minorHAnsi"/>
        </w:rPr>
      </w:pPr>
    </w:p>
    <w:p w14:paraId="48A80C25" w14:textId="359F6D6D" w:rsidR="00B36B1B" w:rsidRDefault="009E6883" w:rsidP="006E645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stablecoins and NFTs regulated </w:t>
      </w:r>
      <w:r w:rsidR="00DD2CD2">
        <w:rPr>
          <w:rFonts w:eastAsia="Times New Roman" w:cstheme="minorHAnsi"/>
          <w:b/>
          <w:bCs/>
          <w:u w:val="single"/>
          <w:lang w:val="en-SG"/>
        </w:rPr>
        <w:t>in Abu Dhabi</w:t>
      </w:r>
      <w:r w:rsidRPr="00644B77">
        <w:rPr>
          <w:rFonts w:eastAsia="Times New Roman" w:cstheme="minorHAnsi"/>
          <w:b/>
          <w:bCs/>
          <w:u w:val="single"/>
          <w:lang w:val="en-SG"/>
        </w:rPr>
        <w:t>?</w:t>
      </w:r>
    </w:p>
    <w:p w14:paraId="3B6C8605" w14:textId="77777777" w:rsidR="00B36B1B" w:rsidRPr="00B36B1B" w:rsidRDefault="00B36B1B" w:rsidP="006E6457">
      <w:pPr>
        <w:spacing w:after="0" w:line="240" w:lineRule="auto"/>
        <w:ind w:left="360"/>
        <w:jc w:val="both"/>
        <w:rPr>
          <w:rFonts w:eastAsia="Times New Roman" w:cstheme="minorHAnsi"/>
          <w:lang w:val="en-SG"/>
        </w:rPr>
      </w:pPr>
    </w:p>
    <w:p w14:paraId="693C2734" w14:textId="03C73254" w:rsidR="00056ED2" w:rsidRDefault="00056ED2" w:rsidP="006E6457">
      <w:pPr>
        <w:spacing w:after="0" w:line="240" w:lineRule="auto"/>
        <w:ind w:left="360"/>
        <w:jc w:val="both"/>
        <w:rPr>
          <w:rFonts w:eastAsia="Times New Roman" w:cstheme="minorHAnsi"/>
        </w:rPr>
      </w:pPr>
      <w:r w:rsidRPr="00056ED2">
        <w:rPr>
          <w:rFonts w:eastAsia="Times New Roman" w:cstheme="minorHAnsi"/>
          <w:u w:val="single"/>
        </w:rPr>
        <w:lastRenderedPageBreak/>
        <w:t>Stablecoins</w:t>
      </w:r>
      <w:r w:rsidRPr="00056ED2">
        <w:rPr>
          <w:rFonts w:eastAsia="Times New Roman" w:cstheme="minorHAnsi"/>
        </w:rPr>
        <w:t xml:space="preserve">: The regulatory landscape for stablecoins in Abu Dhabi has evolved with the introduction of </w:t>
      </w:r>
      <w:hyperlink r:id="rId35" w:history="1">
        <w:r w:rsidRPr="00056ED2">
          <w:rPr>
            <w:rStyle w:val="Hyperlink"/>
            <w:rFonts w:eastAsia="Times New Roman" w:cstheme="minorHAnsi"/>
            <w:color w:val="FF6E00"/>
            <w:u w:val="none"/>
          </w:rPr>
          <w:t>Consultation Paper No. 7 of 2024 by the FSRA</w:t>
        </w:r>
      </w:hyperlink>
      <w:r w:rsidRPr="00056ED2">
        <w:rPr>
          <w:rFonts w:eastAsia="Times New Roman" w:cstheme="minorHAnsi"/>
        </w:rPr>
        <w:t xml:space="preserve"> on August 20, 2024. This paper outlines a new framework specifically for Fiat-Referenced Tokens (</w:t>
      </w:r>
      <w:r w:rsidRPr="00056ED2">
        <w:rPr>
          <w:rFonts w:eastAsia="Times New Roman" w:cstheme="minorHAnsi"/>
          <w:b/>
          <w:bCs/>
        </w:rPr>
        <w:t>FRTs</w:t>
      </w:r>
      <w:r w:rsidRPr="00056ED2">
        <w:rPr>
          <w:rFonts w:eastAsia="Times New Roman" w:cstheme="minorHAnsi"/>
        </w:rPr>
        <w:t>), a category of stablecoins that are backed by high-quality, liquid assets denominated in a single fiat currency.</w:t>
      </w:r>
    </w:p>
    <w:p w14:paraId="5CB23914" w14:textId="77777777" w:rsidR="00056ED2" w:rsidRPr="00056ED2" w:rsidRDefault="00056ED2" w:rsidP="006E6457">
      <w:pPr>
        <w:spacing w:after="0" w:line="240" w:lineRule="auto"/>
        <w:ind w:left="360"/>
        <w:jc w:val="both"/>
        <w:rPr>
          <w:rFonts w:eastAsia="Times New Roman" w:cstheme="minorHAnsi"/>
        </w:rPr>
      </w:pPr>
    </w:p>
    <w:p w14:paraId="43B8DA85" w14:textId="77777777" w:rsidR="00056ED2" w:rsidRDefault="00056ED2" w:rsidP="006E6457">
      <w:pPr>
        <w:spacing w:after="0" w:line="240" w:lineRule="auto"/>
        <w:ind w:left="360"/>
        <w:jc w:val="both"/>
        <w:rPr>
          <w:rFonts w:eastAsia="Times New Roman" w:cstheme="minorHAnsi"/>
        </w:rPr>
      </w:pPr>
      <w:r w:rsidRPr="00056ED2">
        <w:rPr>
          <w:rFonts w:eastAsia="Times New Roman" w:cstheme="minorHAnsi"/>
        </w:rPr>
        <w:t>Stablecoins are defined as digital representations of fiat currency and are classified as commodities rather than specified investments under the FSMR (</w:t>
      </w:r>
      <w:r w:rsidRPr="00056ED2">
        <w:rPr>
          <w:rFonts w:eastAsia="Times New Roman" w:cstheme="minorHAnsi"/>
          <w:b/>
          <w:bCs/>
        </w:rPr>
        <w:t>FSMR</w:t>
      </w:r>
      <w:r w:rsidRPr="00056ED2">
        <w:rPr>
          <w:rFonts w:eastAsia="Times New Roman" w:cstheme="minorHAnsi"/>
        </w:rPr>
        <w:t xml:space="preserve">). The FSRA's new framework distinguishes FRTs from other </w:t>
      </w:r>
      <w:proofErr w:type="gramStart"/>
      <w:r w:rsidRPr="00056ED2">
        <w:rPr>
          <w:rFonts w:eastAsia="Times New Roman" w:cstheme="minorHAnsi"/>
        </w:rPr>
        <w:t>stablecoins</w:t>
      </w:r>
      <w:proofErr w:type="gramEnd"/>
      <w:r w:rsidRPr="00056ED2">
        <w:rPr>
          <w:rFonts w:eastAsia="Times New Roman" w:cstheme="minorHAnsi"/>
        </w:rPr>
        <w:t xml:space="preserve"> by ensuring they maintain a stable value through backing with liquid assets. Unlike traditional stablecoins, which may be backed by volatile assets, FRTs must be fully backed by the same fiat currency they represent, allowing them to function as reliable mediums of exchange.</w:t>
      </w:r>
    </w:p>
    <w:p w14:paraId="2E6B23B4" w14:textId="77777777" w:rsidR="00056ED2" w:rsidRPr="00056ED2" w:rsidRDefault="00056ED2" w:rsidP="006E6457">
      <w:pPr>
        <w:spacing w:after="0" w:line="240" w:lineRule="auto"/>
        <w:ind w:left="360"/>
        <w:jc w:val="both"/>
        <w:rPr>
          <w:rFonts w:eastAsia="Times New Roman" w:cstheme="minorHAnsi"/>
        </w:rPr>
      </w:pPr>
    </w:p>
    <w:p w14:paraId="25A3F7FC" w14:textId="77777777" w:rsidR="00056ED2" w:rsidRDefault="00056ED2" w:rsidP="006E6457">
      <w:pPr>
        <w:spacing w:after="0" w:line="240" w:lineRule="auto"/>
        <w:ind w:left="360"/>
        <w:jc w:val="both"/>
        <w:rPr>
          <w:rFonts w:eastAsia="Times New Roman" w:cstheme="minorHAnsi"/>
        </w:rPr>
      </w:pPr>
      <w:r w:rsidRPr="00056ED2">
        <w:rPr>
          <w:rFonts w:eastAsia="Times New Roman" w:cstheme="minorHAnsi"/>
        </w:rPr>
        <w:t>The FSRA proposes a risk-based and proportionate approach to the issuance of FRTs, reflecting industry demand and aligning with best practices from leading jurisdictions. Key components of this framework include reserve asset requirements, which stipulate that FRT issuers must maintain reserve assets consisting solely of cash and high-quality liquid investments in the same currency as the FRT. The minimum capital requirement is set at $2 million or the issuer's annual audited expenditure, whichever is higher.</w:t>
      </w:r>
    </w:p>
    <w:p w14:paraId="092852DE" w14:textId="77777777" w:rsidR="00056ED2" w:rsidRPr="00056ED2" w:rsidRDefault="00056ED2" w:rsidP="006E6457">
      <w:pPr>
        <w:spacing w:after="0" w:line="240" w:lineRule="auto"/>
        <w:ind w:left="360"/>
        <w:jc w:val="both"/>
        <w:rPr>
          <w:rFonts w:eastAsia="Times New Roman" w:cstheme="minorHAnsi"/>
        </w:rPr>
      </w:pPr>
    </w:p>
    <w:p w14:paraId="1E6D45F5" w14:textId="77777777" w:rsidR="00056ED2" w:rsidRDefault="00056ED2" w:rsidP="006E6457">
      <w:pPr>
        <w:spacing w:after="0" w:line="240" w:lineRule="auto"/>
        <w:ind w:left="360"/>
        <w:jc w:val="both"/>
        <w:rPr>
          <w:rFonts w:eastAsia="Times New Roman" w:cstheme="minorHAnsi"/>
        </w:rPr>
      </w:pPr>
      <w:r w:rsidRPr="00056ED2">
        <w:rPr>
          <w:rFonts w:eastAsia="Times New Roman" w:cstheme="minorHAnsi"/>
        </w:rPr>
        <w:t>Additionally, holders of FRTs must be able to redeem their tokens at par value within two business days of a redemption request, ensuring liquidity and stability in the market. Issuers will also be required to conduct annual stress tests to assess their ability to meet redemption requests during adverse market conditions, including evaluating liquidity stress and operational risks. Furthermore, reserve assets must be held separately with third-party custodians to ensure insolvency remoteness, thereby protecting token holders' interests.</w:t>
      </w:r>
    </w:p>
    <w:p w14:paraId="73453A95" w14:textId="77777777" w:rsidR="00056ED2" w:rsidRPr="00056ED2" w:rsidRDefault="00056ED2" w:rsidP="006E6457">
      <w:pPr>
        <w:spacing w:after="0" w:line="240" w:lineRule="auto"/>
        <w:ind w:left="360"/>
        <w:jc w:val="both"/>
        <w:rPr>
          <w:rFonts w:eastAsia="Times New Roman" w:cstheme="minorHAnsi"/>
        </w:rPr>
      </w:pPr>
    </w:p>
    <w:p w14:paraId="61217F73" w14:textId="77777777" w:rsidR="00056ED2" w:rsidRDefault="00056ED2" w:rsidP="006E6457">
      <w:pPr>
        <w:spacing w:after="0" w:line="240" w:lineRule="auto"/>
        <w:ind w:left="360"/>
        <w:jc w:val="both"/>
        <w:rPr>
          <w:rFonts w:eastAsia="Times New Roman" w:cstheme="minorHAnsi"/>
        </w:rPr>
      </w:pPr>
      <w:r w:rsidRPr="00056ED2">
        <w:rPr>
          <w:rFonts w:eastAsia="Times New Roman" w:cstheme="minorHAnsi"/>
        </w:rPr>
        <w:t>In terms of compliance, issuers located within the ADGM intending to offer FRTs must seek a Financial Services Permission (</w:t>
      </w:r>
      <w:r w:rsidRPr="00056ED2">
        <w:rPr>
          <w:rFonts w:eastAsia="Times New Roman" w:cstheme="minorHAnsi"/>
          <w:b/>
          <w:bCs/>
        </w:rPr>
        <w:t>FSP</w:t>
      </w:r>
      <w:r w:rsidRPr="00056ED2">
        <w:rPr>
          <w:rFonts w:eastAsia="Times New Roman" w:cstheme="minorHAnsi"/>
        </w:rPr>
        <w:t>) for providing money services. If an issuer's fiat-backed stablecoin is fully backed by its underlying fiat currency, the funds held would be classified as Client Money, necessitating compliance with the Client Money provisions outlined in the Conduct of Business Rulebook (</w:t>
      </w:r>
      <w:r w:rsidRPr="00056ED2">
        <w:rPr>
          <w:rFonts w:eastAsia="Times New Roman" w:cstheme="minorHAnsi"/>
          <w:b/>
          <w:bCs/>
        </w:rPr>
        <w:t>COBS</w:t>
      </w:r>
      <w:r w:rsidRPr="00056ED2">
        <w:rPr>
          <w:rFonts w:eastAsia="Times New Roman" w:cstheme="minorHAnsi"/>
        </w:rPr>
        <w:t>).</w:t>
      </w:r>
    </w:p>
    <w:p w14:paraId="19629351" w14:textId="77777777" w:rsidR="00056ED2" w:rsidRPr="00056ED2" w:rsidRDefault="00056ED2" w:rsidP="006E6457">
      <w:pPr>
        <w:spacing w:after="0" w:line="240" w:lineRule="auto"/>
        <w:ind w:left="360"/>
        <w:jc w:val="both"/>
        <w:rPr>
          <w:rFonts w:eastAsia="Times New Roman" w:cstheme="minorHAnsi"/>
        </w:rPr>
      </w:pPr>
    </w:p>
    <w:p w14:paraId="5D234880" w14:textId="77777777" w:rsidR="00056ED2" w:rsidRDefault="00056ED2" w:rsidP="006E6457">
      <w:pPr>
        <w:spacing w:after="0" w:line="240" w:lineRule="auto"/>
        <w:ind w:left="360"/>
        <w:jc w:val="both"/>
        <w:rPr>
          <w:rFonts w:eastAsia="Times New Roman" w:cstheme="minorHAnsi"/>
        </w:rPr>
      </w:pPr>
      <w:r w:rsidRPr="00056ED2">
        <w:rPr>
          <w:rFonts w:eastAsia="Times New Roman" w:cstheme="minorHAnsi"/>
          <w:u w:val="single"/>
        </w:rPr>
        <w:t>NFTs</w:t>
      </w:r>
      <w:r w:rsidRPr="00056ED2">
        <w:rPr>
          <w:rFonts w:eastAsia="Times New Roman" w:cstheme="minorHAnsi"/>
        </w:rPr>
        <w:t xml:space="preserve">: NFTs are cryptographic assets on a DLT with unique identification codes and metadata that distinguish them from each other. Unlike virtual assets, they cannot be replicated, thus cannot be traded or exchanged at equivalency. </w:t>
      </w:r>
    </w:p>
    <w:p w14:paraId="07669BC1" w14:textId="77777777" w:rsidR="00056ED2" w:rsidRPr="00056ED2" w:rsidRDefault="00056ED2" w:rsidP="006E6457">
      <w:pPr>
        <w:spacing w:after="0" w:line="240" w:lineRule="auto"/>
        <w:ind w:left="360"/>
        <w:jc w:val="both"/>
        <w:rPr>
          <w:rFonts w:eastAsia="Times New Roman" w:cstheme="minorHAnsi"/>
        </w:rPr>
      </w:pPr>
    </w:p>
    <w:p w14:paraId="349F4D53" w14:textId="2DA13BA8" w:rsidR="00B36B1B" w:rsidRPr="00056ED2" w:rsidRDefault="00056ED2" w:rsidP="006E6457">
      <w:pPr>
        <w:spacing w:after="0" w:line="240" w:lineRule="auto"/>
        <w:ind w:left="360"/>
        <w:jc w:val="both"/>
        <w:rPr>
          <w:rFonts w:eastAsia="Times New Roman" w:cstheme="minorHAnsi"/>
          <w:lang w:val="en-SG"/>
        </w:rPr>
      </w:pPr>
      <w:r w:rsidRPr="00056ED2">
        <w:rPr>
          <w:rFonts w:eastAsia="Times New Roman" w:cstheme="minorHAnsi"/>
        </w:rPr>
        <w:t xml:space="preserve">The FSRA does not currently have a formal regulatory framework for NFTs. However, in certain circumstances, the FSRA allows NFT activities to be undertaken within ADGM but only by regulated and active multilateral trading facilities providing </w:t>
      </w:r>
      <w:proofErr w:type="gramStart"/>
      <w:r w:rsidRPr="00056ED2">
        <w:rPr>
          <w:rFonts w:eastAsia="Times New Roman" w:cstheme="minorHAnsi"/>
        </w:rPr>
        <w:t>a custody</w:t>
      </w:r>
      <w:proofErr w:type="gramEnd"/>
      <w:r w:rsidRPr="00056ED2">
        <w:rPr>
          <w:rFonts w:eastAsia="Times New Roman" w:cstheme="minorHAnsi"/>
        </w:rPr>
        <w:t xml:space="preserve"> of virtual assets. Firms conducting </w:t>
      </w:r>
      <w:proofErr w:type="gramStart"/>
      <w:r w:rsidRPr="00056ED2">
        <w:rPr>
          <w:rFonts w:eastAsia="Times New Roman" w:cstheme="minorHAnsi"/>
        </w:rPr>
        <w:t>own</w:t>
      </w:r>
      <w:proofErr w:type="gramEnd"/>
      <w:r w:rsidRPr="00056ED2">
        <w:rPr>
          <w:rFonts w:eastAsia="Times New Roman" w:cstheme="minorHAnsi"/>
        </w:rPr>
        <w:t xml:space="preserve"> account or proprietary investments in NFTs are allowed to do so within ADGM. Relevant MTFs/Virtual Asset Custodians should establish within their ADGM group an unregulated, commercially licensed NFT entity, which would be primarily used to engage with NFT issuers and market participants. All NFT activities will be captured for KYC and AML/CTF purposes.</w:t>
      </w:r>
    </w:p>
    <w:p w14:paraId="6A8DDFE6" w14:textId="77777777" w:rsidR="0028403B" w:rsidRPr="00B36B1B" w:rsidRDefault="0028403B" w:rsidP="006E6457">
      <w:pPr>
        <w:spacing w:after="0" w:line="240" w:lineRule="auto"/>
        <w:ind w:left="360"/>
        <w:jc w:val="both"/>
        <w:rPr>
          <w:rFonts w:eastAsia="Times New Roman" w:cstheme="minorHAnsi"/>
          <w:b/>
          <w:bCs/>
          <w:u w:val="single"/>
          <w:lang w:val="en-SG"/>
        </w:rPr>
      </w:pPr>
    </w:p>
    <w:p w14:paraId="141F1C35" w14:textId="722C8E09" w:rsidR="00B36B1B" w:rsidRDefault="009E6883" w:rsidP="006E645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decentralised finance (DeFi) activities (e.g. lending virtual assets) regulated </w:t>
      </w:r>
      <w:r w:rsidR="00DD2CD2">
        <w:rPr>
          <w:rFonts w:eastAsia="Times New Roman" w:cstheme="minorHAnsi"/>
          <w:b/>
          <w:bCs/>
          <w:u w:val="single"/>
          <w:lang w:val="en-SG"/>
        </w:rPr>
        <w:t>in Abu Dhabi</w:t>
      </w:r>
      <w:r w:rsidRPr="00644B77">
        <w:rPr>
          <w:rFonts w:eastAsia="Times New Roman" w:cstheme="minorHAnsi"/>
          <w:b/>
          <w:bCs/>
          <w:u w:val="single"/>
          <w:lang w:val="en-SG"/>
        </w:rPr>
        <w:t>?</w:t>
      </w:r>
    </w:p>
    <w:p w14:paraId="3A0A72BE" w14:textId="77777777" w:rsidR="00B36B1B" w:rsidRDefault="00B36B1B" w:rsidP="006E6457">
      <w:pPr>
        <w:spacing w:after="0" w:line="240" w:lineRule="auto"/>
        <w:jc w:val="both"/>
        <w:rPr>
          <w:rFonts w:eastAsia="Times New Roman" w:cstheme="minorHAnsi"/>
          <w:lang w:val="en-SG"/>
        </w:rPr>
      </w:pPr>
    </w:p>
    <w:p w14:paraId="3971DDBF" w14:textId="77777777" w:rsidR="00DC5317" w:rsidRDefault="00DC5317" w:rsidP="006E6457">
      <w:pPr>
        <w:spacing w:after="0" w:line="240" w:lineRule="auto"/>
        <w:ind w:left="360"/>
        <w:jc w:val="both"/>
        <w:rPr>
          <w:rFonts w:eastAsia="Times New Roman" w:cstheme="minorHAnsi"/>
        </w:rPr>
      </w:pPr>
      <w:r w:rsidRPr="00DC5317">
        <w:rPr>
          <w:rFonts w:eastAsia="Times New Roman" w:cstheme="minorHAnsi"/>
        </w:rPr>
        <w:t>The FSRA in Abu Dhabi acknowledges the impact of the virtual asset industry, including decentralised finance (</w:t>
      </w:r>
      <w:r w:rsidRPr="00DC5317">
        <w:rPr>
          <w:rFonts w:eastAsia="Times New Roman" w:cstheme="minorHAnsi"/>
          <w:b/>
          <w:bCs/>
        </w:rPr>
        <w:t>DeFi</w:t>
      </w:r>
      <w:r w:rsidRPr="00DC5317">
        <w:rPr>
          <w:rFonts w:eastAsia="Times New Roman" w:cstheme="minorHAnsi"/>
        </w:rPr>
        <w:t xml:space="preserve">) activities, and established a comprehensive regulatory framework in 2018. This </w:t>
      </w:r>
      <w:r w:rsidRPr="00DC5317">
        <w:rPr>
          <w:rFonts w:eastAsia="Times New Roman" w:cstheme="minorHAnsi"/>
        </w:rPr>
        <w:lastRenderedPageBreak/>
        <w:t>framework includes regulations and rules aimed at protecting investors, maintaining market integrity, and addressing potential financial stability risks.</w:t>
      </w:r>
    </w:p>
    <w:p w14:paraId="3A842F39" w14:textId="77777777" w:rsidR="00DC5317" w:rsidRPr="00DC5317" w:rsidRDefault="00DC5317" w:rsidP="006E6457">
      <w:pPr>
        <w:spacing w:after="0" w:line="240" w:lineRule="auto"/>
        <w:ind w:left="360"/>
        <w:jc w:val="both"/>
        <w:rPr>
          <w:rFonts w:eastAsia="Times New Roman" w:cstheme="minorHAnsi"/>
        </w:rPr>
      </w:pPr>
    </w:p>
    <w:p w14:paraId="6054C7D8" w14:textId="77777777" w:rsidR="00DC5317" w:rsidRDefault="00DC5317" w:rsidP="006E6457">
      <w:pPr>
        <w:spacing w:after="0" w:line="240" w:lineRule="auto"/>
        <w:ind w:left="360"/>
        <w:jc w:val="both"/>
        <w:rPr>
          <w:rFonts w:eastAsia="Times New Roman" w:cstheme="minorHAnsi"/>
        </w:rPr>
      </w:pPr>
      <w:r w:rsidRPr="00DC5317">
        <w:rPr>
          <w:rFonts w:eastAsia="Times New Roman" w:cstheme="minorHAnsi"/>
        </w:rPr>
        <w:t>It defines virtual assets as commodities, requiring licensing for entities involved in regulated activities with VAs in ADGM. The framework oversees and mitigates risks in the DeFi sector, meeting the expectations of innovators and traditional financial institutions for transparency in a regulated environment.</w:t>
      </w:r>
    </w:p>
    <w:p w14:paraId="36D97770" w14:textId="77777777" w:rsidR="00DC5317" w:rsidRPr="00DC5317" w:rsidRDefault="00DC5317" w:rsidP="006E6457">
      <w:pPr>
        <w:spacing w:after="0" w:line="240" w:lineRule="auto"/>
        <w:ind w:left="360"/>
        <w:jc w:val="both"/>
        <w:rPr>
          <w:rFonts w:eastAsia="Times New Roman" w:cstheme="minorHAnsi"/>
        </w:rPr>
      </w:pPr>
    </w:p>
    <w:p w14:paraId="2F83930B" w14:textId="77777777" w:rsidR="00DC5317" w:rsidRDefault="00DC5317" w:rsidP="006E6457">
      <w:pPr>
        <w:spacing w:after="0" w:line="240" w:lineRule="auto"/>
        <w:ind w:left="360"/>
        <w:jc w:val="both"/>
        <w:rPr>
          <w:rFonts w:eastAsia="Times New Roman" w:cstheme="minorHAnsi"/>
        </w:rPr>
      </w:pPr>
      <w:r w:rsidRPr="00DC5317">
        <w:rPr>
          <w:rFonts w:eastAsia="Times New Roman" w:cstheme="minorHAnsi"/>
        </w:rPr>
        <w:t xml:space="preserve">Entities using 'Digital Securities' in ADGM must comply with the FSRA's AML/CFT framework, potentially subjecting DeFi activities to AML/CFT regulations in Abu Dhabi. DeFi activities, like lending virtual assets, fall under the Regulated Activity of "Operating a Crypto Asset Business," necessitating authorisation as an OCAB Holder from the FSRA. The OCAB framework applies to individuals or entities carrying out regulated activities involving crypto assets, ensuring regulation of DeFi activities involving virtual assets in </w:t>
      </w:r>
      <w:bookmarkStart w:id="0" w:name="_Hlk157409602"/>
      <w:r w:rsidRPr="00DC5317">
        <w:rPr>
          <w:rFonts w:eastAsia="Times New Roman" w:cstheme="minorHAnsi"/>
        </w:rPr>
        <w:t>Abu Dhabi</w:t>
      </w:r>
      <w:bookmarkEnd w:id="0"/>
      <w:r w:rsidRPr="00DC5317">
        <w:rPr>
          <w:rFonts w:eastAsia="Times New Roman" w:cstheme="minorHAnsi"/>
        </w:rPr>
        <w:t xml:space="preserve">. OCAB Holders must comply with regulatory requirements, including capital, AML/CFT, international tax reporting, technology governance, and market abuse prevention. </w:t>
      </w:r>
    </w:p>
    <w:p w14:paraId="42B54844" w14:textId="77777777" w:rsidR="00DC5317" w:rsidRPr="00DC5317" w:rsidRDefault="00DC5317" w:rsidP="006E6457">
      <w:pPr>
        <w:spacing w:after="0" w:line="240" w:lineRule="auto"/>
        <w:ind w:left="360"/>
        <w:jc w:val="both"/>
        <w:rPr>
          <w:rFonts w:eastAsia="Times New Roman" w:cstheme="minorHAnsi"/>
        </w:rPr>
      </w:pPr>
    </w:p>
    <w:p w14:paraId="4ECB99A4" w14:textId="65ACE436" w:rsidR="0028403B" w:rsidRPr="00B36B1B" w:rsidRDefault="00DC5317" w:rsidP="006E6457">
      <w:pPr>
        <w:spacing w:after="0" w:line="240" w:lineRule="auto"/>
        <w:ind w:left="360"/>
        <w:jc w:val="both"/>
        <w:rPr>
          <w:rFonts w:eastAsia="Times New Roman" w:cstheme="minorHAnsi"/>
          <w:lang w:val="en-SG"/>
        </w:rPr>
      </w:pPr>
      <w:r w:rsidRPr="00DC5317">
        <w:rPr>
          <w:rFonts w:eastAsia="Times New Roman" w:cstheme="minorHAnsi"/>
        </w:rPr>
        <w:t>Given the evolving nature of DeFi, FSRA regulatory guidelines are expected to adapt. In short, DeFi activities, such as lending virtual assets, are regulated in Abu Dhabi under the FSRA's virtual asset framework to enhance transparency and manage risks for investors and stakeholders in the DeFi sector.</w:t>
      </w:r>
    </w:p>
    <w:p w14:paraId="70756A91" w14:textId="77777777" w:rsidR="00B36B1B" w:rsidRPr="00B36B1B" w:rsidRDefault="00B36B1B" w:rsidP="006E6457">
      <w:pPr>
        <w:spacing w:after="0" w:line="240" w:lineRule="auto"/>
        <w:ind w:left="360"/>
        <w:jc w:val="both"/>
        <w:rPr>
          <w:rFonts w:eastAsia="Times New Roman" w:cstheme="minorHAnsi"/>
          <w:b/>
          <w:bCs/>
          <w:u w:val="single"/>
          <w:lang w:val="en-SG"/>
        </w:rPr>
      </w:pPr>
    </w:p>
    <w:p w14:paraId="075C9A46" w14:textId="0960291C" w:rsidR="0074504D" w:rsidRPr="00644B77" w:rsidRDefault="009E6883" w:rsidP="006E645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there any restrictions on issuing or publicly offering virtual assets </w:t>
      </w:r>
      <w:r w:rsidR="00DD2CD2">
        <w:rPr>
          <w:rFonts w:eastAsia="Times New Roman" w:cstheme="minorHAnsi"/>
          <w:b/>
          <w:bCs/>
          <w:u w:val="single"/>
          <w:lang w:val="en-SG"/>
        </w:rPr>
        <w:t>in Abu Dhabi</w:t>
      </w:r>
      <w:r w:rsidRPr="00644B77">
        <w:rPr>
          <w:rFonts w:eastAsia="Times New Roman" w:cstheme="minorHAnsi"/>
          <w:b/>
          <w:bCs/>
          <w:u w:val="single"/>
          <w:lang w:val="en-SG"/>
        </w:rPr>
        <w:t>?</w:t>
      </w:r>
    </w:p>
    <w:p w14:paraId="3BE3CDCF" w14:textId="77777777" w:rsidR="00775445" w:rsidRPr="00644B77" w:rsidRDefault="00775445" w:rsidP="006E6457">
      <w:pPr>
        <w:spacing w:after="0" w:line="240" w:lineRule="auto"/>
        <w:ind w:left="360"/>
        <w:jc w:val="both"/>
        <w:rPr>
          <w:rFonts w:eastAsia="Times New Roman" w:cstheme="minorHAnsi"/>
          <w:b/>
          <w:bCs/>
          <w:u w:val="single"/>
          <w:lang w:val="en-SG"/>
        </w:rPr>
      </w:pPr>
    </w:p>
    <w:p w14:paraId="1D81847D" w14:textId="77777777" w:rsidR="004213EB" w:rsidRDefault="004213EB" w:rsidP="006E6457">
      <w:pPr>
        <w:spacing w:after="0" w:line="240" w:lineRule="auto"/>
        <w:ind w:left="360"/>
        <w:jc w:val="both"/>
        <w:rPr>
          <w:rFonts w:eastAsia="Times New Roman" w:cstheme="minorHAnsi"/>
        </w:rPr>
      </w:pPr>
      <w:r w:rsidRPr="004213EB">
        <w:rPr>
          <w:rFonts w:eastAsia="Times New Roman" w:cstheme="minorHAnsi"/>
        </w:rPr>
        <w:t>There are specific restrictions and requirements for issuing or publicly offering virtual assets in Abu Dhabi. They are laid out in detail in the "Guidance – Regulation of Digital Securities Activities in ADGM" and FSMR 2015, according to which, any person intending to conduct an Initial Coin Offering (</w:t>
      </w:r>
      <w:r w:rsidRPr="004213EB">
        <w:rPr>
          <w:rFonts w:eastAsia="Times New Roman" w:cstheme="minorHAnsi"/>
          <w:b/>
          <w:bCs/>
        </w:rPr>
        <w:t>ICO</w:t>
      </w:r>
      <w:r w:rsidRPr="004213EB">
        <w:rPr>
          <w:rFonts w:eastAsia="Times New Roman" w:cstheme="minorHAnsi"/>
        </w:rPr>
        <w:t>) or Initial Token Offering (</w:t>
      </w:r>
      <w:r w:rsidRPr="004213EB">
        <w:rPr>
          <w:rFonts w:eastAsia="Times New Roman" w:cstheme="minorHAnsi"/>
          <w:b/>
          <w:bCs/>
        </w:rPr>
        <w:t>ITO</w:t>
      </w:r>
      <w:r w:rsidRPr="004213EB">
        <w:rPr>
          <w:rFonts w:eastAsia="Times New Roman" w:cstheme="minorHAnsi"/>
        </w:rPr>
        <w:t>) in or from the ADGM must comply with the ADGM FSMR. The ICO or ITO issuer is required to obtain approval as an OCAB Holder and meet specific disclosure requirements.</w:t>
      </w:r>
    </w:p>
    <w:p w14:paraId="7CC03B1C" w14:textId="77777777" w:rsidR="004213EB" w:rsidRPr="004213EB" w:rsidRDefault="004213EB" w:rsidP="006E6457">
      <w:pPr>
        <w:spacing w:after="0" w:line="240" w:lineRule="auto"/>
        <w:ind w:left="360"/>
        <w:jc w:val="both"/>
        <w:rPr>
          <w:rFonts w:eastAsia="Times New Roman" w:cstheme="minorHAnsi"/>
        </w:rPr>
      </w:pPr>
    </w:p>
    <w:p w14:paraId="0CC4826F" w14:textId="0FD1F47B" w:rsidR="004213EB" w:rsidRDefault="004213EB" w:rsidP="006E6457">
      <w:pPr>
        <w:spacing w:after="0" w:line="240" w:lineRule="auto"/>
        <w:ind w:left="360"/>
        <w:jc w:val="both"/>
        <w:rPr>
          <w:rFonts w:eastAsia="Times New Roman" w:cstheme="minorHAnsi"/>
        </w:rPr>
      </w:pPr>
      <w:r w:rsidRPr="004213EB">
        <w:rPr>
          <w:rFonts w:eastAsia="Times New Roman" w:cstheme="minorHAnsi"/>
        </w:rPr>
        <w:t>Additionally, the Issuer must file a prospectus with the authorities and comply with other relevant regulations in addition to FSMR. In addition to obtaining approval as an OCAB holder, ICO and ITO issuers must meet other specific regulatory requirements and disclose various types of information.</w:t>
      </w:r>
      <w:r w:rsidR="00C65794">
        <w:rPr>
          <w:rFonts w:eastAsia="Times New Roman" w:cstheme="minorHAnsi"/>
        </w:rPr>
        <w:t xml:space="preserve"> </w:t>
      </w:r>
      <w:r w:rsidRPr="004213EB">
        <w:rPr>
          <w:rFonts w:eastAsia="Times New Roman" w:cstheme="minorHAnsi"/>
        </w:rPr>
        <w:t xml:space="preserve">Regarding disclosure requirements, ICO and ITO issuers must provide clear, concise, and meaningful information about </w:t>
      </w:r>
      <w:proofErr w:type="gramStart"/>
      <w:r w:rsidRPr="004213EB">
        <w:rPr>
          <w:rFonts w:eastAsia="Times New Roman" w:cstheme="minorHAnsi"/>
        </w:rPr>
        <w:t>the virtual</w:t>
      </w:r>
      <w:proofErr w:type="gramEnd"/>
      <w:r w:rsidRPr="004213EB">
        <w:rPr>
          <w:rFonts w:eastAsia="Times New Roman" w:cstheme="minorHAnsi"/>
        </w:rPr>
        <w:t xml:space="preserve"> assets, the business, and the risks involved. This includes specific information about the issuer and their management team, the proposed use of funds, the intended purpose of the virtual assets, and any relevant liquidity or market-making arrangements. </w:t>
      </w:r>
    </w:p>
    <w:p w14:paraId="6149715D" w14:textId="77777777" w:rsidR="004213EB" w:rsidRPr="004213EB" w:rsidRDefault="004213EB" w:rsidP="006E6457">
      <w:pPr>
        <w:spacing w:after="0" w:line="240" w:lineRule="auto"/>
        <w:ind w:left="360"/>
        <w:jc w:val="both"/>
        <w:rPr>
          <w:rFonts w:eastAsia="Times New Roman" w:cstheme="minorHAnsi"/>
        </w:rPr>
      </w:pPr>
    </w:p>
    <w:p w14:paraId="69CC99B0" w14:textId="52117BCC" w:rsidR="004213EB" w:rsidRDefault="004213EB" w:rsidP="006E6457">
      <w:pPr>
        <w:spacing w:after="0" w:line="240" w:lineRule="auto"/>
        <w:ind w:left="360"/>
        <w:jc w:val="both"/>
        <w:rPr>
          <w:rFonts w:eastAsia="Times New Roman" w:cstheme="minorHAnsi"/>
        </w:rPr>
      </w:pPr>
      <w:r w:rsidRPr="004213EB">
        <w:rPr>
          <w:rFonts w:eastAsia="Times New Roman" w:cstheme="minorHAnsi"/>
        </w:rPr>
        <w:t>Additionally, the guidance document provides specific requirements for the content and format of the Digital Offering Memorandum (</w:t>
      </w:r>
      <w:r w:rsidRPr="004213EB">
        <w:rPr>
          <w:rFonts w:eastAsia="Times New Roman" w:cstheme="minorHAnsi"/>
          <w:b/>
          <w:bCs/>
        </w:rPr>
        <w:t>DOM</w:t>
      </w:r>
      <w:r w:rsidRPr="004213EB">
        <w:rPr>
          <w:rFonts w:eastAsia="Times New Roman" w:cstheme="minorHAnsi"/>
        </w:rPr>
        <w:t>) and the Information Memorandum (</w:t>
      </w:r>
      <w:r w:rsidRPr="004213EB">
        <w:rPr>
          <w:rFonts w:eastAsia="Times New Roman" w:cstheme="minorHAnsi"/>
          <w:b/>
          <w:bCs/>
        </w:rPr>
        <w:t>IM</w:t>
      </w:r>
      <w:r w:rsidRPr="004213EB">
        <w:rPr>
          <w:rFonts w:eastAsia="Times New Roman" w:cstheme="minorHAnsi"/>
        </w:rPr>
        <w:t xml:space="preserve">) depending on the type of virtual asset being offered. Moreover, the guidance document sets out eligibility criteria for prospective OCAB Holders, including a requirement to substantiate their experience in investment, trading or custody of virtual assets and an assurance that their key insiders are of appropriate fitness and propriety. Furthermore, entities seeking to conduct an offering of digital securities must comply with </w:t>
      </w:r>
      <w:hyperlink r:id="rId36" w:history="1">
        <w:r w:rsidRPr="004213EB">
          <w:rPr>
            <w:rStyle w:val="Hyperlink"/>
            <w:rFonts w:eastAsia="Times New Roman" w:cstheme="minorHAnsi"/>
            <w:color w:val="FF6E00"/>
            <w:u w:val="none"/>
          </w:rPr>
          <w:t>AML/CFT Framework</w:t>
        </w:r>
      </w:hyperlink>
      <w:r w:rsidRPr="004213EB">
        <w:rPr>
          <w:rFonts w:eastAsia="Times New Roman" w:cstheme="minorHAnsi"/>
        </w:rPr>
        <w:t xml:space="preserve">, including the adoption of international best practices. </w:t>
      </w:r>
    </w:p>
    <w:p w14:paraId="578D4CA4" w14:textId="77777777" w:rsidR="004213EB" w:rsidRPr="004213EB" w:rsidRDefault="004213EB" w:rsidP="006E6457">
      <w:pPr>
        <w:spacing w:after="0" w:line="240" w:lineRule="auto"/>
        <w:ind w:left="360"/>
        <w:jc w:val="both"/>
        <w:rPr>
          <w:rFonts w:eastAsia="Times New Roman" w:cstheme="minorHAnsi"/>
        </w:rPr>
      </w:pPr>
    </w:p>
    <w:p w14:paraId="30952D01" w14:textId="62C216E7" w:rsidR="00B36B1B" w:rsidRDefault="004213EB" w:rsidP="006E6457">
      <w:pPr>
        <w:spacing w:after="0" w:line="240" w:lineRule="auto"/>
        <w:ind w:left="360"/>
        <w:jc w:val="both"/>
        <w:rPr>
          <w:rFonts w:eastAsia="Times New Roman" w:cstheme="minorHAnsi"/>
        </w:rPr>
      </w:pPr>
      <w:r w:rsidRPr="004213EB">
        <w:rPr>
          <w:rFonts w:eastAsia="Times New Roman" w:cstheme="minorHAnsi"/>
        </w:rPr>
        <w:t>It is important to note that these requirements are not exhaustive, and depending on the specific situation, there may be additional regulations and requirements that the issuer must meet.</w:t>
      </w:r>
    </w:p>
    <w:p w14:paraId="00B2081F" w14:textId="77777777" w:rsidR="0028403B" w:rsidRPr="00644B77" w:rsidRDefault="0028403B" w:rsidP="006E6457">
      <w:pPr>
        <w:spacing w:after="0" w:line="240" w:lineRule="auto"/>
        <w:ind w:left="360"/>
        <w:jc w:val="both"/>
        <w:rPr>
          <w:rFonts w:eastAsia="Times New Roman" w:cstheme="minorHAnsi"/>
          <w:b/>
          <w:bCs/>
          <w:u w:val="single"/>
          <w:lang w:val="en-SG"/>
        </w:rPr>
      </w:pPr>
    </w:p>
    <w:p w14:paraId="1D17324E" w14:textId="629384EB" w:rsidR="004311E2" w:rsidRDefault="009E6883" w:rsidP="006E645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lastRenderedPageBreak/>
        <w:t xml:space="preserve">Are there any exemptions to the restrictions on issuing or publicly offering of virtual assets </w:t>
      </w:r>
      <w:r w:rsidR="00DD2CD2">
        <w:rPr>
          <w:rFonts w:eastAsia="Times New Roman" w:cstheme="minorHAnsi"/>
          <w:b/>
          <w:bCs/>
          <w:u w:val="single"/>
          <w:lang w:val="en-SG"/>
        </w:rPr>
        <w:t>in Abu Dhabi</w:t>
      </w:r>
      <w:r w:rsidRPr="00644B77">
        <w:rPr>
          <w:rFonts w:eastAsia="Times New Roman" w:cstheme="minorHAnsi"/>
          <w:b/>
          <w:bCs/>
          <w:u w:val="single"/>
          <w:lang w:val="en-SG"/>
        </w:rPr>
        <w:t>?</w:t>
      </w:r>
    </w:p>
    <w:p w14:paraId="3CE99EDA" w14:textId="77777777" w:rsidR="00B36B1B" w:rsidRDefault="00B36B1B" w:rsidP="006E6457">
      <w:pPr>
        <w:spacing w:after="0" w:line="240" w:lineRule="auto"/>
        <w:ind w:left="360"/>
        <w:jc w:val="both"/>
        <w:rPr>
          <w:rFonts w:eastAsia="Times New Roman" w:cstheme="minorHAnsi"/>
          <w:b/>
          <w:bCs/>
          <w:u w:val="single"/>
          <w:lang w:val="en-SG"/>
        </w:rPr>
      </w:pPr>
    </w:p>
    <w:p w14:paraId="7D2A9A48" w14:textId="77777777" w:rsidR="00A211CC" w:rsidRPr="00A211CC" w:rsidRDefault="00A211CC" w:rsidP="006E6457">
      <w:pPr>
        <w:numPr>
          <w:ilvl w:val="0"/>
          <w:numId w:val="148"/>
        </w:numPr>
        <w:spacing w:after="0" w:line="240" w:lineRule="auto"/>
        <w:ind w:left="1080"/>
        <w:jc w:val="both"/>
        <w:rPr>
          <w:rFonts w:eastAsia="Times New Roman" w:cstheme="minorHAnsi"/>
          <w:u w:val="single"/>
        </w:rPr>
      </w:pPr>
      <w:r w:rsidRPr="00A211CC">
        <w:rPr>
          <w:rFonts w:eastAsia="Times New Roman" w:cstheme="minorHAnsi"/>
        </w:rPr>
        <w:t>Here's an elaboration regarding the exemptions to the restrictions on issuing or publicly offering virtual assets given in FSRA Regulation, 2015:</w:t>
      </w:r>
    </w:p>
    <w:p w14:paraId="666DA5CE" w14:textId="77777777" w:rsidR="00A211CC" w:rsidRPr="00A211CC" w:rsidRDefault="00A211CC" w:rsidP="006E6457">
      <w:pPr>
        <w:spacing w:after="0" w:line="240" w:lineRule="auto"/>
        <w:ind w:left="1080"/>
        <w:jc w:val="both"/>
        <w:rPr>
          <w:rFonts w:eastAsia="Times New Roman" w:cstheme="minorHAnsi"/>
          <w:u w:val="single"/>
        </w:rPr>
      </w:pPr>
    </w:p>
    <w:p w14:paraId="177EAE2C" w14:textId="77777777" w:rsidR="00A211CC" w:rsidRPr="00A211CC" w:rsidRDefault="00A211CC" w:rsidP="006E6457">
      <w:pPr>
        <w:numPr>
          <w:ilvl w:val="0"/>
          <w:numId w:val="147"/>
        </w:numPr>
        <w:spacing w:after="0" w:line="240" w:lineRule="auto"/>
        <w:ind w:left="1440"/>
        <w:jc w:val="both"/>
        <w:rPr>
          <w:rFonts w:eastAsia="Times New Roman" w:cstheme="minorHAnsi"/>
        </w:rPr>
      </w:pPr>
      <w:r w:rsidRPr="00A211CC">
        <w:rPr>
          <w:rFonts w:eastAsia="Times New Roman" w:cstheme="minorHAnsi"/>
          <w:u w:val="single"/>
        </w:rPr>
        <w:t>Exemption for securities of an Exempt Offeror</w:t>
      </w:r>
      <w:r w:rsidRPr="00A211CC">
        <w:rPr>
          <w:rFonts w:eastAsia="Times New Roman" w:cstheme="minorHAnsi"/>
        </w:rPr>
        <w:t xml:space="preserve">: The Regulator may exclude the application of any requirements for the public offering of securities issued or guaranteed by an Exempt Offeror. An Exempt Offeror is defined as a person that is listed on a register maintained by the Regulator. Therefore, securities offered by such </w:t>
      </w:r>
      <w:proofErr w:type="gramStart"/>
      <w:r w:rsidRPr="00A211CC">
        <w:rPr>
          <w:rFonts w:eastAsia="Times New Roman" w:cstheme="minorHAnsi"/>
        </w:rPr>
        <w:t>persons</w:t>
      </w:r>
      <w:proofErr w:type="gramEnd"/>
      <w:r w:rsidRPr="00A211CC">
        <w:rPr>
          <w:rFonts w:eastAsia="Times New Roman" w:cstheme="minorHAnsi"/>
        </w:rPr>
        <w:t xml:space="preserve"> may not be subject to the normal requirements for public offerings.</w:t>
      </w:r>
    </w:p>
    <w:p w14:paraId="71EC9BC2" w14:textId="77777777" w:rsidR="00A211CC" w:rsidRPr="00A211CC" w:rsidRDefault="00A211CC" w:rsidP="006E6457">
      <w:pPr>
        <w:spacing w:after="0" w:line="240" w:lineRule="auto"/>
        <w:ind w:left="1080"/>
        <w:jc w:val="both"/>
        <w:rPr>
          <w:rFonts w:eastAsia="Times New Roman" w:cstheme="minorHAnsi"/>
        </w:rPr>
      </w:pPr>
    </w:p>
    <w:p w14:paraId="1D205026" w14:textId="77777777" w:rsidR="00A211CC" w:rsidRPr="00A211CC" w:rsidRDefault="00A211CC" w:rsidP="006E6457">
      <w:pPr>
        <w:numPr>
          <w:ilvl w:val="0"/>
          <w:numId w:val="147"/>
        </w:numPr>
        <w:spacing w:after="0" w:line="240" w:lineRule="auto"/>
        <w:ind w:left="1440"/>
        <w:jc w:val="both"/>
        <w:rPr>
          <w:rFonts w:eastAsia="Times New Roman" w:cstheme="minorHAnsi"/>
        </w:rPr>
      </w:pPr>
      <w:r w:rsidRPr="00A211CC">
        <w:rPr>
          <w:rFonts w:eastAsia="Times New Roman" w:cstheme="minorHAnsi"/>
          <w:u w:val="single"/>
        </w:rPr>
        <w:t>Exemption for securities unconditionally and irrevocably guaranteed by an Exempt Offeror</w:t>
      </w:r>
      <w:r w:rsidRPr="00A211CC">
        <w:rPr>
          <w:rFonts w:eastAsia="Times New Roman" w:cstheme="minorHAnsi"/>
        </w:rPr>
        <w:t>: Securities unconditionally and irrevocably guaranteed by an Exempt Offeror may also be excluded from requirements for public offerings. This likely means that if an Exempt Offeror guarantees the issuer of a security's ability to repay it, that security may not be subject to the normal requirements for public offerings.</w:t>
      </w:r>
    </w:p>
    <w:p w14:paraId="7BAF8037" w14:textId="77777777" w:rsidR="00A211CC" w:rsidRPr="00A211CC" w:rsidRDefault="00A211CC" w:rsidP="006E6457">
      <w:pPr>
        <w:spacing w:after="0" w:line="240" w:lineRule="auto"/>
        <w:ind w:left="1080"/>
        <w:jc w:val="both"/>
        <w:rPr>
          <w:rFonts w:eastAsia="Times New Roman" w:cstheme="minorHAnsi"/>
        </w:rPr>
      </w:pPr>
    </w:p>
    <w:p w14:paraId="16D6C9F3" w14:textId="049CD081" w:rsidR="00A211CC" w:rsidRPr="00A211CC" w:rsidRDefault="00A211CC" w:rsidP="006E6457">
      <w:pPr>
        <w:numPr>
          <w:ilvl w:val="0"/>
          <w:numId w:val="147"/>
        </w:numPr>
        <w:spacing w:after="0" w:line="240" w:lineRule="auto"/>
        <w:ind w:left="1440"/>
        <w:jc w:val="both"/>
        <w:rPr>
          <w:rFonts w:eastAsia="Times New Roman" w:cstheme="minorHAnsi"/>
        </w:rPr>
      </w:pPr>
      <w:r w:rsidRPr="00A211CC">
        <w:rPr>
          <w:rFonts w:eastAsia="Times New Roman" w:cstheme="minorHAnsi"/>
          <w:u w:val="single"/>
        </w:rPr>
        <w:t>List of Exempt Offerors maintained by the Regulator</w:t>
      </w:r>
      <w:r w:rsidRPr="00A211CC">
        <w:rPr>
          <w:rFonts w:eastAsia="Times New Roman" w:cstheme="minorHAnsi"/>
        </w:rPr>
        <w:t>: As mentioned above, the Regulator maintains a list of Exempt Offerors. The Regulator has the power to make rules for those wishing to be included on the list of Exempt Offerors. This gives the Regulator control over the entities that may be exempt from requirements for public offerings.</w:t>
      </w:r>
    </w:p>
    <w:p w14:paraId="490E2E71" w14:textId="77777777" w:rsidR="00A211CC" w:rsidRPr="00A211CC" w:rsidRDefault="00A211CC" w:rsidP="006E6457">
      <w:pPr>
        <w:spacing w:after="0" w:line="240" w:lineRule="auto"/>
        <w:ind w:left="1080"/>
        <w:jc w:val="both"/>
        <w:rPr>
          <w:rFonts w:eastAsia="Times New Roman" w:cstheme="minorHAnsi"/>
        </w:rPr>
      </w:pPr>
    </w:p>
    <w:p w14:paraId="4018839C" w14:textId="77777777" w:rsidR="00A211CC" w:rsidRPr="00A211CC" w:rsidRDefault="00A211CC" w:rsidP="006E6457">
      <w:pPr>
        <w:numPr>
          <w:ilvl w:val="0"/>
          <w:numId w:val="147"/>
        </w:numPr>
        <w:spacing w:after="0" w:line="240" w:lineRule="auto"/>
        <w:ind w:left="1440"/>
        <w:jc w:val="both"/>
        <w:rPr>
          <w:rFonts w:eastAsia="Times New Roman" w:cstheme="minorHAnsi"/>
        </w:rPr>
      </w:pPr>
      <w:r w:rsidRPr="00A211CC">
        <w:rPr>
          <w:rFonts w:eastAsia="Times New Roman" w:cstheme="minorHAnsi"/>
          <w:u w:val="single"/>
        </w:rPr>
        <w:t xml:space="preserve">Exemption from prospectus requirements </w:t>
      </w:r>
      <w:proofErr w:type="gramStart"/>
      <w:r w:rsidRPr="00A211CC">
        <w:rPr>
          <w:rFonts w:eastAsia="Times New Roman" w:cstheme="minorHAnsi"/>
          <w:u w:val="single"/>
        </w:rPr>
        <w:t>possible</w:t>
      </w:r>
      <w:proofErr w:type="gramEnd"/>
      <w:r w:rsidRPr="00A211CC">
        <w:rPr>
          <w:rFonts w:eastAsia="Times New Roman" w:cstheme="minorHAnsi"/>
          <w:u w:val="single"/>
        </w:rPr>
        <w:t xml:space="preserve"> under certain circumstances</w:t>
      </w:r>
      <w:r w:rsidRPr="00A211CC">
        <w:rPr>
          <w:rFonts w:eastAsia="Times New Roman" w:cstheme="minorHAnsi"/>
        </w:rPr>
        <w:t xml:space="preserve">: There may be circumstances under which a person is exempted from the requirements for preparing and filing a prospectus, which is a disclosure document that provides investors with material information about securities being sold in a public offering. Such circumstances include when securities are offered only to </w:t>
      </w:r>
      <w:proofErr w:type="gramStart"/>
      <w:r w:rsidRPr="00A211CC">
        <w:rPr>
          <w:rFonts w:eastAsia="Times New Roman" w:cstheme="minorHAnsi"/>
        </w:rPr>
        <w:t>specified</w:t>
      </w:r>
      <w:proofErr w:type="gramEnd"/>
      <w:r w:rsidRPr="00A211CC">
        <w:rPr>
          <w:rFonts w:eastAsia="Times New Roman" w:cstheme="minorHAnsi"/>
        </w:rPr>
        <w:t xml:space="preserve"> categories of persons, such as high net worth individuals and institutions. </w:t>
      </w:r>
    </w:p>
    <w:p w14:paraId="077DDA5B" w14:textId="77777777" w:rsidR="00A211CC" w:rsidRPr="00A211CC" w:rsidRDefault="00A211CC" w:rsidP="006E6457">
      <w:pPr>
        <w:spacing w:after="0" w:line="240" w:lineRule="auto"/>
        <w:ind w:left="720"/>
        <w:jc w:val="both"/>
        <w:rPr>
          <w:rFonts w:eastAsia="Times New Roman" w:cstheme="minorHAnsi"/>
        </w:rPr>
      </w:pPr>
    </w:p>
    <w:p w14:paraId="022E9101" w14:textId="77777777" w:rsidR="00A211CC" w:rsidRPr="00A211CC" w:rsidRDefault="00A211CC" w:rsidP="006E6457">
      <w:pPr>
        <w:numPr>
          <w:ilvl w:val="0"/>
          <w:numId w:val="148"/>
        </w:numPr>
        <w:spacing w:after="0" w:line="240" w:lineRule="auto"/>
        <w:ind w:left="1080"/>
        <w:jc w:val="both"/>
        <w:rPr>
          <w:rFonts w:eastAsia="Times New Roman" w:cstheme="minorHAnsi"/>
        </w:rPr>
      </w:pPr>
      <w:r w:rsidRPr="00A211CC">
        <w:rPr>
          <w:rFonts w:eastAsia="Times New Roman" w:cstheme="minorHAnsi"/>
        </w:rPr>
        <w:t>Other Exemptions:</w:t>
      </w:r>
    </w:p>
    <w:p w14:paraId="4F7D92D4" w14:textId="77777777" w:rsidR="00A211CC" w:rsidRPr="00A211CC" w:rsidRDefault="00A211CC" w:rsidP="006E6457">
      <w:pPr>
        <w:spacing w:after="0" w:line="240" w:lineRule="auto"/>
        <w:ind w:left="720"/>
        <w:jc w:val="both"/>
        <w:rPr>
          <w:rFonts w:eastAsia="Times New Roman" w:cstheme="minorHAnsi"/>
        </w:rPr>
      </w:pPr>
    </w:p>
    <w:p w14:paraId="1F76A317" w14:textId="77777777" w:rsidR="00A211CC" w:rsidRPr="00A211CC" w:rsidRDefault="00A211CC" w:rsidP="006E6457">
      <w:pPr>
        <w:numPr>
          <w:ilvl w:val="0"/>
          <w:numId w:val="149"/>
        </w:numPr>
        <w:spacing w:after="0" w:line="240" w:lineRule="auto"/>
        <w:ind w:left="1440"/>
        <w:jc w:val="both"/>
        <w:rPr>
          <w:rFonts w:eastAsia="Times New Roman" w:cstheme="minorHAnsi"/>
        </w:rPr>
      </w:pPr>
      <w:r w:rsidRPr="00A211CC">
        <w:rPr>
          <w:rFonts w:eastAsia="Times New Roman" w:cstheme="minorHAnsi"/>
          <w:u w:val="single"/>
        </w:rPr>
        <w:t>Trading of Recognised Securities</w:t>
      </w:r>
      <w:r w:rsidRPr="00A211CC">
        <w:rPr>
          <w:rFonts w:eastAsia="Times New Roman" w:cstheme="minorHAnsi"/>
        </w:rPr>
        <w:t>: Communication related to the trading of securities on a Recognised Investment Exchange (</w:t>
      </w:r>
      <w:r w:rsidRPr="00A211CC">
        <w:rPr>
          <w:rFonts w:eastAsia="Times New Roman" w:cstheme="minorHAnsi"/>
          <w:b/>
          <w:bCs/>
        </w:rPr>
        <w:t>RIE</w:t>
      </w:r>
      <w:r w:rsidRPr="00A211CC">
        <w:rPr>
          <w:rFonts w:eastAsia="Times New Roman" w:cstheme="minorHAnsi"/>
        </w:rPr>
        <w:t>) is exempt.</w:t>
      </w:r>
    </w:p>
    <w:p w14:paraId="255B6C32" w14:textId="77777777" w:rsidR="00A211CC" w:rsidRPr="00A211CC" w:rsidRDefault="00A211CC" w:rsidP="006E6457">
      <w:pPr>
        <w:spacing w:after="0" w:line="240" w:lineRule="auto"/>
        <w:ind w:left="720"/>
        <w:jc w:val="both"/>
        <w:rPr>
          <w:rFonts w:eastAsia="Times New Roman" w:cstheme="minorHAnsi"/>
        </w:rPr>
      </w:pPr>
    </w:p>
    <w:p w14:paraId="3F526E8A" w14:textId="77777777" w:rsidR="00A211CC" w:rsidRPr="00A211CC" w:rsidRDefault="00A211CC" w:rsidP="006E6457">
      <w:pPr>
        <w:numPr>
          <w:ilvl w:val="0"/>
          <w:numId w:val="149"/>
        </w:numPr>
        <w:spacing w:after="0" w:line="240" w:lineRule="auto"/>
        <w:ind w:left="1440"/>
        <w:jc w:val="both"/>
        <w:rPr>
          <w:rFonts w:eastAsia="Times New Roman" w:cstheme="minorHAnsi"/>
        </w:rPr>
      </w:pPr>
      <w:r w:rsidRPr="00A211CC">
        <w:rPr>
          <w:rFonts w:eastAsia="Times New Roman" w:cstheme="minorHAnsi"/>
          <w:u w:val="single"/>
        </w:rPr>
        <w:t>Compliance Reporting</w:t>
      </w:r>
      <w:r w:rsidRPr="00A211CC">
        <w:rPr>
          <w:rFonts w:eastAsia="Times New Roman" w:cstheme="minorHAnsi"/>
        </w:rPr>
        <w:t xml:space="preserve">: Communication made for ongoing reporting requirements of the </w:t>
      </w:r>
      <w:proofErr w:type="gramStart"/>
      <w:r w:rsidRPr="00A211CC">
        <w:rPr>
          <w:rFonts w:eastAsia="Times New Roman" w:cstheme="minorHAnsi"/>
        </w:rPr>
        <w:t>FSRA</w:t>
      </w:r>
      <w:proofErr w:type="gramEnd"/>
      <w:r w:rsidRPr="00A211CC">
        <w:rPr>
          <w:rFonts w:eastAsia="Times New Roman" w:cstheme="minorHAnsi"/>
        </w:rPr>
        <w:t xml:space="preserve"> or a Recognised Investment Exchange is exempt.</w:t>
      </w:r>
    </w:p>
    <w:p w14:paraId="58677CB2" w14:textId="77777777" w:rsidR="00A211CC" w:rsidRPr="00A211CC" w:rsidRDefault="00A211CC" w:rsidP="006E6457">
      <w:pPr>
        <w:spacing w:after="0" w:line="240" w:lineRule="auto"/>
        <w:ind w:left="720"/>
        <w:jc w:val="both"/>
        <w:rPr>
          <w:rFonts w:eastAsia="Times New Roman" w:cstheme="minorHAnsi"/>
        </w:rPr>
      </w:pPr>
    </w:p>
    <w:p w14:paraId="1527AD55" w14:textId="77777777" w:rsidR="00A211CC" w:rsidRPr="00A211CC" w:rsidRDefault="00A211CC" w:rsidP="006E6457">
      <w:pPr>
        <w:numPr>
          <w:ilvl w:val="0"/>
          <w:numId w:val="149"/>
        </w:numPr>
        <w:spacing w:after="0" w:line="240" w:lineRule="auto"/>
        <w:ind w:left="1440"/>
        <w:jc w:val="both"/>
        <w:rPr>
          <w:rFonts w:eastAsia="Times New Roman" w:cstheme="minorHAnsi"/>
        </w:rPr>
      </w:pPr>
      <w:r w:rsidRPr="00A211CC">
        <w:rPr>
          <w:rFonts w:eastAsia="Times New Roman" w:cstheme="minorHAnsi"/>
          <w:u w:val="single"/>
        </w:rPr>
        <w:t>Other Prescribed Exemptions</w:t>
      </w:r>
      <w:r w:rsidRPr="00A211CC">
        <w:rPr>
          <w:rFonts w:eastAsia="Times New Roman" w:cstheme="minorHAnsi"/>
        </w:rPr>
        <w:t>: Certain communications prescribed in rules as exempt are also recognised.</w:t>
      </w:r>
    </w:p>
    <w:p w14:paraId="2E31423D" w14:textId="77777777" w:rsidR="00A211CC" w:rsidRPr="00A211CC" w:rsidRDefault="00A211CC" w:rsidP="006E6457">
      <w:pPr>
        <w:spacing w:after="0" w:line="240" w:lineRule="auto"/>
        <w:ind w:left="720"/>
        <w:jc w:val="both"/>
        <w:rPr>
          <w:rFonts w:eastAsia="Times New Roman" w:cstheme="minorHAnsi"/>
        </w:rPr>
      </w:pPr>
    </w:p>
    <w:p w14:paraId="32C6E604" w14:textId="77777777" w:rsidR="00A211CC" w:rsidRPr="00A211CC" w:rsidRDefault="00A211CC" w:rsidP="006E6457">
      <w:pPr>
        <w:numPr>
          <w:ilvl w:val="0"/>
          <w:numId w:val="148"/>
        </w:numPr>
        <w:spacing w:after="0" w:line="240" w:lineRule="auto"/>
        <w:ind w:left="1080"/>
        <w:jc w:val="both"/>
        <w:rPr>
          <w:rFonts w:eastAsia="Times New Roman" w:cstheme="minorHAnsi"/>
        </w:rPr>
      </w:pPr>
      <w:r w:rsidRPr="00A211CC">
        <w:rPr>
          <w:rFonts w:eastAsia="Times New Roman" w:cstheme="minorHAnsi"/>
        </w:rPr>
        <w:t>In addition, specific exemptions apply to:</w:t>
      </w:r>
    </w:p>
    <w:p w14:paraId="137308B7" w14:textId="77777777" w:rsidR="00A211CC" w:rsidRPr="00A211CC" w:rsidRDefault="00A211CC" w:rsidP="006E6457">
      <w:pPr>
        <w:spacing w:after="0" w:line="240" w:lineRule="auto"/>
        <w:ind w:left="720"/>
        <w:jc w:val="both"/>
        <w:rPr>
          <w:rFonts w:eastAsia="Times New Roman" w:cstheme="minorHAnsi"/>
        </w:rPr>
      </w:pPr>
    </w:p>
    <w:p w14:paraId="3F21FF1D" w14:textId="77777777" w:rsidR="00A211CC" w:rsidRPr="00A211CC" w:rsidRDefault="00A211CC" w:rsidP="006E6457">
      <w:pPr>
        <w:numPr>
          <w:ilvl w:val="0"/>
          <w:numId w:val="150"/>
        </w:numPr>
        <w:spacing w:after="0" w:line="240" w:lineRule="auto"/>
        <w:ind w:left="1440"/>
        <w:jc w:val="both"/>
        <w:rPr>
          <w:rFonts w:eastAsia="Times New Roman" w:cstheme="minorHAnsi"/>
        </w:rPr>
      </w:pPr>
      <w:r w:rsidRPr="00A211CC">
        <w:rPr>
          <w:rFonts w:eastAsia="Times New Roman" w:cstheme="minorHAnsi"/>
          <w:u w:val="single"/>
        </w:rPr>
        <w:t>Central Banks</w:t>
      </w:r>
      <w:r w:rsidRPr="00A211CC">
        <w:rPr>
          <w:rFonts w:eastAsia="Times New Roman" w:cstheme="minorHAnsi"/>
        </w:rPr>
        <w:t>: Exempt from regulatory restrictions due to their authority in issuing legal tender and maintaining financial system stability.</w:t>
      </w:r>
    </w:p>
    <w:p w14:paraId="1644E2F0" w14:textId="77777777" w:rsidR="00A211CC" w:rsidRPr="00A211CC" w:rsidRDefault="00A211CC" w:rsidP="006E6457">
      <w:pPr>
        <w:spacing w:after="0" w:line="240" w:lineRule="auto"/>
        <w:ind w:left="1080"/>
        <w:jc w:val="both"/>
        <w:rPr>
          <w:rFonts w:eastAsia="Times New Roman" w:cstheme="minorHAnsi"/>
        </w:rPr>
      </w:pPr>
    </w:p>
    <w:p w14:paraId="6BC2DE23" w14:textId="77777777" w:rsidR="00A211CC" w:rsidRPr="00A211CC" w:rsidRDefault="00A211CC" w:rsidP="006E6457">
      <w:pPr>
        <w:numPr>
          <w:ilvl w:val="0"/>
          <w:numId w:val="150"/>
        </w:numPr>
        <w:spacing w:after="0" w:line="240" w:lineRule="auto"/>
        <w:ind w:left="1440"/>
        <w:jc w:val="both"/>
        <w:rPr>
          <w:rFonts w:eastAsia="Times New Roman" w:cstheme="minorHAnsi"/>
        </w:rPr>
      </w:pPr>
      <w:r w:rsidRPr="00A211CC">
        <w:rPr>
          <w:rFonts w:eastAsia="Times New Roman" w:cstheme="minorHAnsi"/>
          <w:u w:val="single"/>
        </w:rPr>
        <w:t>Regulated Financial Institutions</w:t>
      </w:r>
      <w:r w:rsidRPr="00A211CC">
        <w:rPr>
          <w:rFonts w:eastAsia="Times New Roman" w:cstheme="minorHAnsi"/>
        </w:rPr>
        <w:t>: Allowed to offer virtual assets for internal business or financial group use only.</w:t>
      </w:r>
    </w:p>
    <w:p w14:paraId="2DD0D376" w14:textId="77777777" w:rsidR="00A211CC" w:rsidRPr="00A211CC" w:rsidRDefault="00A211CC" w:rsidP="006E6457">
      <w:pPr>
        <w:spacing w:after="0" w:line="240" w:lineRule="auto"/>
        <w:ind w:left="1080"/>
        <w:jc w:val="both"/>
        <w:rPr>
          <w:rFonts w:eastAsia="Times New Roman" w:cstheme="minorHAnsi"/>
        </w:rPr>
      </w:pPr>
    </w:p>
    <w:p w14:paraId="3F4D1B53" w14:textId="77777777" w:rsidR="00A211CC" w:rsidRPr="00A211CC" w:rsidRDefault="00A211CC" w:rsidP="006E6457">
      <w:pPr>
        <w:numPr>
          <w:ilvl w:val="0"/>
          <w:numId w:val="150"/>
        </w:numPr>
        <w:spacing w:after="0" w:line="240" w:lineRule="auto"/>
        <w:ind w:left="1440"/>
        <w:jc w:val="both"/>
        <w:rPr>
          <w:rFonts w:eastAsia="Times New Roman" w:cstheme="minorHAnsi"/>
        </w:rPr>
      </w:pPr>
      <w:r w:rsidRPr="00A211CC">
        <w:rPr>
          <w:rFonts w:eastAsia="Times New Roman" w:cstheme="minorHAnsi"/>
          <w:u w:val="single"/>
        </w:rPr>
        <w:t>Governments, Governmental Bodies, or International Organisations</w:t>
      </w:r>
      <w:r w:rsidRPr="00A211CC">
        <w:rPr>
          <w:rFonts w:eastAsia="Times New Roman" w:cstheme="minorHAnsi"/>
        </w:rPr>
        <w:t>: Exempt for efficient budget management and diverse transaction processing in government affairs.</w:t>
      </w:r>
    </w:p>
    <w:p w14:paraId="0C1E279B" w14:textId="77777777" w:rsidR="00A211CC" w:rsidRPr="00A211CC" w:rsidRDefault="00A211CC" w:rsidP="006E6457">
      <w:pPr>
        <w:spacing w:after="0" w:line="240" w:lineRule="auto"/>
        <w:ind w:left="1080"/>
        <w:jc w:val="both"/>
        <w:rPr>
          <w:rFonts w:eastAsia="Times New Roman" w:cstheme="minorHAnsi"/>
        </w:rPr>
      </w:pPr>
    </w:p>
    <w:p w14:paraId="191520E7" w14:textId="7A43E056" w:rsidR="00C36842" w:rsidRDefault="00A211CC" w:rsidP="00C36842">
      <w:pPr>
        <w:numPr>
          <w:ilvl w:val="0"/>
          <w:numId w:val="150"/>
        </w:numPr>
        <w:spacing w:after="0" w:line="240" w:lineRule="auto"/>
        <w:ind w:left="1440"/>
        <w:jc w:val="both"/>
        <w:rPr>
          <w:rFonts w:eastAsia="Times New Roman" w:cstheme="minorHAnsi"/>
        </w:rPr>
      </w:pPr>
      <w:r w:rsidRPr="00A211CC">
        <w:rPr>
          <w:rFonts w:eastAsia="Times New Roman" w:cstheme="minorHAnsi"/>
          <w:u w:val="single"/>
        </w:rPr>
        <w:t>Retail Activities</w:t>
      </w:r>
      <w:r w:rsidRPr="00A211CC">
        <w:rPr>
          <w:rFonts w:eastAsia="Times New Roman" w:cstheme="minorHAnsi"/>
        </w:rPr>
        <w:t>: Persons using virtual assets solely for non-specified investment purchases, such as flights or electronics, are exempt.</w:t>
      </w:r>
    </w:p>
    <w:p w14:paraId="08830B56" w14:textId="77777777" w:rsidR="00C36842" w:rsidRPr="00C36842" w:rsidRDefault="00C36842" w:rsidP="00C36842">
      <w:pPr>
        <w:spacing w:after="0" w:line="240" w:lineRule="auto"/>
        <w:jc w:val="both"/>
        <w:rPr>
          <w:rFonts w:eastAsia="Times New Roman" w:cstheme="minorHAnsi"/>
        </w:rPr>
      </w:pPr>
    </w:p>
    <w:p w14:paraId="60C001A2" w14:textId="5A9BF969" w:rsidR="00B36B1B" w:rsidRPr="00C36842" w:rsidRDefault="00A211CC" w:rsidP="00C36842">
      <w:pPr>
        <w:numPr>
          <w:ilvl w:val="0"/>
          <w:numId w:val="150"/>
        </w:numPr>
        <w:spacing w:after="0" w:line="240" w:lineRule="auto"/>
        <w:ind w:left="1440"/>
        <w:jc w:val="both"/>
        <w:rPr>
          <w:rFonts w:eastAsia="Times New Roman" w:cstheme="minorHAnsi"/>
        </w:rPr>
      </w:pPr>
      <w:r w:rsidRPr="006E5422">
        <w:rPr>
          <w:rFonts w:eastAsia="Times New Roman" w:cstheme="minorHAnsi"/>
          <w:u w:val="single"/>
        </w:rPr>
        <w:t>Regulator-Specified Purposes</w:t>
      </w:r>
      <w:r w:rsidRPr="00C36842">
        <w:rPr>
          <w:rFonts w:eastAsia="Times New Roman" w:cstheme="minorHAnsi"/>
        </w:rPr>
        <w:t>: Exemptions may be granted for specific purposes as prescribed by the regulator. Entities benefiting from exemptions must still comply with anti-money laundering and counter-financing of terrorism regulations in the United Arab Emirates.</w:t>
      </w:r>
    </w:p>
    <w:p w14:paraId="76956B93" w14:textId="77777777" w:rsidR="0028403B" w:rsidRPr="00B36B1B" w:rsidRDefault="0028403B" w:rsidP="006E6457">
      <w:pPr>
        <w:spacing w:after="0" w:line="240" w:lineRule="auto"/>
        <w:ind w:left="360"/>
        <w:jc w:val="both"/>
        <w:rPr>
          <w:rFonts w:eastAsia="Times New Roman" w:cstheme="minorHAnsi"/>
          <w:b/>
          <w:bCs/>
          <w:u w:val="single"/>
          <w:lang w:val="en-SG"/>
        </w:rPr>
      </w:pPr>
    </w:p>
    <w:p w14:paraId="5C9C5FAC" w14:textId="68B0D647" w:rsidR="0074504D" w:rsidRPr="00644B77" w:rsidRDefault="009E6883" w:rsidP="006E6457">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 xml:space="preserve">Regulation of VASPs </w:t>
      </w:r>
      <w:r w:rsidR="00DD2CD2">
        <w:rPr>
          <w:rFonts w:eastAsia="Times New Roman" w:cstheme="minorHAnsi"/>
          <w:b/>
          <w:lang w:val="en-SG"/>
        </w:rPr>
        <w:t>in Abu Dhabi</w:t>
      </w:r>
    </w:p>
    <w:p w14:paraId="5F759DF6" w14:textId="77777777" w:rsidR="00F746E9" w:rsidRPr="00644B77" w:rsidRDefault="00F746E9" w:rsidP="006E6457">
      <w:pPr>
        <w:spacing w:after="0" w:line="240" w:lineRule="auto"/>
        <w:ind w:left="360"/>
        <w:jc w:val="both"/>
        <w:rPr>
          <w:rFonts w:eastAsia="Times New Roman" w:cstheme="minorHAnsi"/>
          <w:b/>
          <w:lang w:val="en-SG"/>
        </w:rPr>
      </w:pPr>
    </w:p>
    <w:p w14:paraId="3D0F0688" w14:textId="5DDA3BF0" w:rsidR="009E6883" w:rsidRPr="00644B77" w:rsidRDefault="009E6883" w:rsidP="006E645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VASPs operating </w:t>
      </w:r>
      <w:r w:rsidR="00DD2CD2">
        <w:rPr>
          <w:rFonts w:eastAsia="Times New Roman" w:cstheme="minorHAnsi"/>
          <w:b/>
          <w:bCs/>
          <w:u w:val="single"/>
          <w:lang w:val="en-SG"/>
        </w:rPr>
        <w:t>in Abu Dhabi</w:t>
      </w:r>
      <w:r w:rsidR="00F746E9" w:rsidRPr="00644B77">
        <w:rPr>
          <w:rFonts w:eastAsia="Times New Roman" w:cstheme="minorHAnsi"/>
          <w:b/>
          <w:bCs/>
          <w:u w:val="single"/>
          <w:lang w:val="en-SG"/>
        </w:rPr>
        <w:t xml:space="preserve"> </w:t>
      </w:r>
      <w:r w:rsidRPr="00644B77">
        <w:rPr>
          <w:rFonts w:eastAsia="Times New Roman" w:cstheme="minorHAnsi"/>
          <w:b/>
          <w:bCs/>
          <w:u w:val="single"/>
          <w:lang w:val="en-SG"/>
        </w:rPr>
        <w:t>subject to regulation?</w:t>
      </w:r>
    </w:p>
    <w:p w14:paraId="3DBF7958" w14:textId="77777777" w:rsidR="0074504D" w:rsidRPr="00644B77" w:rsidRDefault="0074504D" w:rsidP="006E6457">
      <w:pPr>
        <w:spacing w:after="0" w:line="240" w:lineRule="auto"/>
        <w:ind w:left="360"/>
        <w:jc w:val="both"/>
        <w:rPr>
          <w:rFonts w:eastAsia="Times New Roman" w:cstheme="minorHAnsi"/>
          <w:b/>
          <w:bCs/>
          <w:lang w:val="en-SG"/>
        </w:rPr>
      </w:pPr>
    </w:p>
    <w:p w14:paraId="76F728C4" w14:textId="77777777" w:rsidR="00787BC1" w:rsidRDefault="00787BC1" w:rsidP="006E6457">
      <w:pPr>
        <w:spacing w:after="0" w:line="240" w:lineRule="auto"/>
        <w:ind w:left="360"/>
        <w:jc w:val="both"/>
        <w:rPr>
          <w:rFonts w:eastAsia="Times New Roman" w:cstheme="minorHAnsi"/>
        </w:rPr>
      </w:pPr>
      <w:r w:rsidRPr="00787BC1">
        <w:rPr>
          <w:rFonts w:eastAsia="Times New Roman" w:cstheme="minorHAnsi"/>
        </w:rPr>
        <w:t>Yes, VASPs operating in Abu Dhabi are subject to regulation under the FSMR 2015. Key regulatory requirements include registration and licensing, where VASPs must register with the FSRA and obtain the necessary licenses to operate. This process involves providing detailed information about their financial standing, management structure, legal status, and ownership, with the FSRA conducting thorough assessments to ensure that only qualified entities are licensed. Compliance with AML/CFT regulations is mandatory; VASPs must implement comprehensive operational measures, customer due diligence processes, and ongoing monitoring to mitigate risks associated with illicit activities. Transparency obligations require providers to disclose service details, terms, and conditions clearly to customers, ensuring that they are well-informed about the services they are utilising. Furthermore, VASPs are obligated to maintain accurate transaction and customer records for a minimum of five years, with the FSRA reserving the right to access these records for regulatory oversight and compliance verification.</w:t>
      </w:r>
    </w:p>
    <w:p w14:paraId="7748D51E" w14:textId="77777777" w:rsidR="00787BC1" w:rsidRPr="00787BC1" w:rsidRDefault="00787BC1" w:rsidP="006E6457">
      <w:pPr>
        <w:spacing w:after="0" w:line="240" w:lineRule="auto"/>
        <w:ind w:left="360"/>
        <w:jc w:val="both"/>
        <w:rPr>
          <w:rFonts w:eastAsia="Times New Roman" w:cstheme="minorHAnsi"/>
        </w:rPr>
      </w:pPr>
    </w:p>
    <w:p w14:paraId="70F8BFEF" w14:textId="7C39D79C" w:rsidR="00B36B1B" w:rsidRDefault="00787BC1" w:rsidP="006E6457">
      <w:pPr>
        <w:spacing w:after="0" w:line="240" w:lineRule="auto"/>
        <w:ind w:left="360"/>
        <w:jc w:val="both"/>
        <w:rPr>
          <w:rFonts w:eastAsia="Times New Roman" w:cstheme="minorHAnsi"/>
        </w:rPr>
      </w:pPr>
      <w:r w:rsidRPr="00787BC1">
        <w:rPr>
          <w:rFonts w:eastAsia="Times New Roman" w:cstheme="minorHAnsi"/>
        </w:rPr>
        <w:t>To protect customer data effectively, the FSRA has issued specific cybersecurity guidelines that VASPs must follow. These guidelines require providers to implement security measures to safeguard sensitive information against breaches or cyber threats. Recent developments include increased collaboration with other regulatory bodies within the UAE, such as the Securities and Commodities Authority (</w:t>
      </w:r>
      <w:hyperlink r:id="rId37" w:history="1">
        <w:r w:rsidRPr="00FE4112">
          <w:rPr>
            <w:rStyle w:val="Hyperlink"/>
            <w:rFonts w:eastAsia="Times New Roman" w:cstheme="minorHAnsi"/>
            <w:b/>
            <w:bCs/>
            <w:color w:val="FF6E00"/>
            <w:u w:val="none"/>
          </w:rPr>
          <w:t>SCA</w:t>
        </w:r>
      </w:hyperlink>
      <w:r w:rsidRPr="00787BC1">
        <w:rPr>
          <w:rFonts w:eastAsia="Times New Roman" w:cstheme="minorHAnsi"/>
        </w:rPr>
        <w:t>) and the Virtual Assets Regulatory Authority (</w:t>
      </w:r>
      <w:hyperlink r:id="rId38" w:history="1">
        <w:r w:rsidRPr="00FE4112">
          <w:rPr>
            <w:rStyle w:val="Hyperlink"/>
            <w:rFonts w:eastAsia="Times New Roman" w:cstheme="minorHAnsi"/>
            <w:b/>
            <w:bCs/>
            <w:color w:val="FF6E00"/>
            <w:u w:val="none"/>
          </w:rPr>
          <w:t>VARA</w:t>
        </w:r>
      </w:hyperlink>
      <w:r w:rsidRPr="00787BC1">
        <w:rPr>
          <w:rFonts w:eastAsia="Times New Roman" w:cstheme="minorHAnsi"/>
        </w:rPr>
        <w:t>). This collaboration aims to create a cohesive regulatory environment across different Emirates while promoting innovation in the virtual asset sector. Additionally, there is an ongoing consultation process inviting feedback from industry stakeholders regarding potential updates to existing regulations governing VASPs. The FSRA is also exploring new regulatory measures to address issues such as consumer protection, product suitability, and the promotion of responsible practices among VASPs.</w:t>
      </w:r>
    </w:p>
    <w:p w14:paraId="6635684C" w14:textId="77777777" w:rsidR="0028403B" w:rsidRPr="00644B77" w:rsidRDefault="0028403B" w:rsidP="006E6457">
      <w:pPr>
        <w:spacing w:after="0" w:line="240" w:lineRule="auto"/>
        <w:ind w:left="360"/>
        <w:jc w:val="both"/>
        <w:rPr>
          <w:rFonts w:eastAsia="Times New Roman" w:cstheme="minorHAnsi"/>
          <w:b/>
          <w:lang w:val="en-SG"/>
        </w:rPr>
      </w:pPr>
    </w:p>
    <w:p w14:paraId="6DB364F5" w14:textId="1C3D3574" w:rsidR="009E6883" w:rsidRPr="00644B77" w:rsidRDefault="009E6883" w:rsidP="006E645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VASPs providing virtual asset services from offshore to persons </w:t>
      </w:r>
      <w:r w:rsidR="00DD2CD2">
        <w:rPr>
          <w:rFonts w:eastAsia="Times New Roman" w:cstheme="minorHAnsi"/>
          <w:b/>
          <w:bCs/>
          <w:u w:val="single"/>
          <w:lang w:val="en-SG"/>
        </w:rPr>
        <w:t>in Abu Dhabi</w:t>
      </w:r>
      <w:r w:rsidR="00E04AA9" w:rsidRPr="00644B77">
        <w:rPr>
          <w:rFonts w:eastAsia="Times New Roman" w:cstheme="minorHAnsi"/>
          <w:b/>
          <w:bCs/>
          <w:u w:val="single"/>
          <w:lang w:val="en-SG"/>
        </w:rPr>
        <w:t xml:space="preserve"> </w:t>
      </w:r>
      <w:r w:rsidRPr="00644B77">
        <w:rPr>
          <w:rFonts w:eastAsia="Times New Roman" w:cstheme="minorHAnsi"/>
          <w:b/>
          <w:bCs/>
          <w:u w:val="single"/>
          <w:lang w:val="en-SG"/>
        </w:rPr>
        <w:t xml:space="preserve">subject to regulation </w:t>
      </w:r>
      <w:r w:rsidR="00DD2CD2">
        <w:rPr>
          <w:rFonts w:eastAsia="Times New Roman" w:cstheme="minorHAnsi"/>
          <w:b/>
          <w:bCs/>
          <w:u w:val="single"/>
          <w:lang w:val="en-SG"/>
        </w:rPr>
        <w:t>in Abu Dhabi</w:t>
      </w:r>
      <w:r w:rsidRPr="00644B77">
        <w:rPr>
          <w:rFonts w:eastAsia="Times New Roman" w:cstheme="minorHAnsi"/>
          <w:b/>
          <w:bCs/>
          <w:u w:val="single"/>
          <w:lang w:val="en-SG"/>
        </w:rPr>
        <w:t>?</w:t>
      </w:r>
    </w:p>
    <w:p w14:paraId="41BFF171" w14:textId="77777777" w:rsidR="0074504D" w:rsidRPr="00644B77" w:rsidRDefault="0074504D" w:rsidP="006E6457">
      <w:pPr>
        <w:spacing w:after="0" w:line="240" w:lineRule="auto"/>
        <w:ind w:left="360"/>
        <w:jc w:val="both"/>
        <w:rPr>
          <w:rFonts w:eastAsia="Times New Roman" w:cstheme="minorHAnsi"/>
          <w:b/>
          <w:bCs/>
          <w:lang w:val="en-SG"/>
        </w:rPr>
      </w:pPr>
    </w:p>
    <w:p w14:paraId="508D472F" w14:textId="06A02908" w:rsidR="00F04EB6" w:rsidRDefault="00F04EB6" w:rsidP="006E6457">
      <w:pPr>
        <w:spacing w:after="0" w:line="240" w:lineRule="auto"/>
        <w:ind w:left="360"/>
        <w:jc w:val="both"/>
        <w:rPr>
          <w:rFonts w:eastAsia="Times New Roman" w:cstheme="minorHAnsi"/>
        </w:rPr>
      </w:pPr>
      <w:r w:rsidRPr="00F04EB6">
        <w:rPr>
          <w:rFonts w:eastAsia="Times New Roman" w:cstheme="minorHAnsi"/>
        </w:rPr>
        <w:t xml:space="preserve">According to the FSRA's Guidance on Regulation of Crypto Asset Activities in ADGM, virtual asset providers that provide virtual asset services from offshore to persons located in Abu Dhabi may be subject to regulation in Abu Dhabi if their activities involve the use of virtual assets that are deemed a security, commodity, or derivative under the ADGM's regulations. This means that such VASPs will </w:t>
      </w:r>
      <w:r w:rsidRPr="00F04EB6">
        <w:rPr>
          <w:rFonts w:eastAsia="Times New Roman" w:cstheme="minorHAnsi"/>
        </w:rPr>
        <w:lastRenderedPageBreak/>
        <w:t xml:space="preserve">need to comply with any relevant regulatory requirements and obtain appropriate licensure from the FSRA if their activities are deemed to fall under the scope of ADGM's regulatory framework. </w:t>
      </w:r>
    </w:p>
    <w:p w14:paraId="08E6B98D" w14:textId="77777777" w:rsidR="00F04EB6" w:rsidRPr="00F04EB6" w:rsidRDefault="00F04EB6" w:rsidP="006E6457">
      <w:pPr>
        <w:spacing w:after="0" w:line="240" w:lineRule="auto"/>
        <w:ind w:left="360"/>
        <w:jc w:val="both"/>
        <w:rPr>
          <w:rFonts w:eastAsia="Times New Roman" w:cstheme="minorHAnsi"/>
        </w:rPr>
      </w:pPr>
    </w:p>
    <w:p w14:paraId="56F0C5B7" w14:textId="77777777" w:rsidR="00F04EB6" w:rsidRDefault="00F04EB6" w:rsidP="006E6457">
      <w:pPr>
        <w:spacing w:after="0" w:line="240" w:lineRule="auto"/>
        <w:ind w:left="360"/>
        <w:jc w:val="both"/>
        <w:rPr>
          <w:rFonts w:eastAsia="Times New Roman" w:cstheme="minorHAnsi"/>
        </w:rPr>
      </w:pPr>
      <w:r w:rsidRPr="00F04EB6">
        <w:rPr>
          <w:rFonts w:eastAsia="Times New Roman" w:cstheme="minorHAnsi"/>
        </w:rPr>
        <w:t xml:space="preserve">Additionally, the FSRA has indicated that it will take a risk-based approach to regulating VASPs, </w:t>
      </w:r>
      <w:proofErr w:type="gramStart"/>
      <w:r w:rsidRPr="00F04EB6">
        <w:rPr>
          <w:rFonts w:eastAsia="Times New Roman" w:cstheme="minorHAnsi"/>
        </w:rPr>
        <w:t>taking into account</w:t>
      </w:r>
      <w:proofErr w:type="gramEnd"/>
      <w:r w:rsidRPr="00F04EB6">
        <w:rPr>
          <w:rFonts w:eastAsia="Times New Roman" w:cstheme="minorHAnsi"/>
        </w:rPr>
        <w:t xml:space="preserve"> factors such as the nature and complexity of the virtual asset services provided, the types of virtual assets used, and the risks posed to consumers and market integrity. </w:t>
      </w:r>
    </w:p>
    <w:p w14:paraId="6A8D6728" w14:textId="77777777" w:rsidR="00F04EB6" w:rsidRPr="00F04EB6" w:rsidRDefault="00F04EB6" w:rsidP="006E6457">
      <w:pPr>
        <w:spacing w:after="0" w:line="240" w:lineRule="auto"/>
        <w:ind w:left="360"/>
        <w:jc w:val="both"/>
        <w:rPr>
          <w:rFonts w:eastAsia="Times New Roman" w:cstheme="minorHAnsi"/>
        </w:rPr>
      </w:pPr>
    </w:p>
    <w:p w14:paraId="177C686B" w14:textId="44AEBA3D" w:rsidR="00E538DF" w:rsidRDefault="00F04EB6" w:rsidP="006E6457">
      <w:pPr>
        <w:spacing w:after="0" w:line="240" w:lineRule="auto"/>
        <w:ind w:left="360"/>
        <w:jc w:val="both"/>
        <w:rPr>
          <w:rFonts w:eastAsia="Times New Roman" w:cstheme="minorHAnsi"/>
        </w:rPr>
      </w:pPr>
      <w:r w:rsidRPr="00F04EB6">
        <w:rPr>
          <w:rFonts w:eastAsia="Times New Roman" w:cstheme="minorHAnsi"/>
        </w:rPr>
        <w:t xml:space="preserve">It is important to note that this guidance is subject to change, and VASPs operating from offshore should seek legal advice to determine their compliance obligations under the ADGM's regulatory framework. </w:t>
      </w:r>
    </w:p>
    <w:p w14:paraId="55B8D005" w14:textId="77777777" w:rsidR="0028403B" w:rsidRPr="00644B77" w:rsidRDefault="0028403B" w:rsidP="006E6457">
      <w:pPr>
        <w:spacing w:after="0" w:line="240" w:lineRule="auto"/>
        <w:ind w:left="360"/>
        <w:jc w:val="both"/>
        <w:rPr>
          <w:rFonts w:eastAsia="Times New Roman" w:cstheme="minorHAnsi"/>
          <w:b/>
          <w:lang w:val="en-SG"/>
        </w:rPr>
      </w:pPr>
    </w:p>
    <w:p w14:paraId="658B8AA8" w14:textId="570BB2C8" w:rsidR="00775445" w:rsidRPr="00644B77" w:rsidRDefault="009E6883" w:rsidP="006E645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What are the main requirements for obtaining licensing / registration as a VASP </w:t>
      </w:r>
      <w:r w:rsidR="00DD2CD2">
        <w:rPr>
          <w:rFonts w:eastAsia="Times New Roman" w:cstheme="minorHAnsi"/>
          <w:b/>
          <w:bCs/>
          <w:u w:val="single"/>
          <w:lang w:val="en-SG"/>
        </w:rPr>
        <w:t>in Abu Dhabi</w:t>
      </w:r>
      <w:r w:rsidRPr="00644B77">
        <w:rPr>
          <w:rFonts w:eastAsia="Times New Roman" w:cstheme="minorHAnsi"/>
          <w:b/>
          <w:bCs/>
          <w:u w:val="single"/>
          <w:lang w:val="en-SG"/>
        </w:rPr>
        <w:t>?</w:t>
      </w:r>
    </w:p>
    <w:p w14:paraId="3ECBD72A" w14:textId="77777777" w:rsidR="00775445" w:rsidRPr="00644B77" w:rsidRDefault="00775445" w:rsidP="006E6457">
      <w:pPr>
        <w:spacing w:after="0" w:line="240" w:lineRule="auto"/>
        <w:ind w:left="720"/>
        <w:jc w:val="both"/>
        <w:rPr>
          <w:rFonts w:eastAsia="Times New Roman" w:cstheme="minorHAnsi"/>
          <w:b/>
          <w:bCs/>
          <w:u w:val="single"/>
          <w:lang w:val="en-SG"/>
        </w:rPr>
      </w:pPr>
    </w:p>
    <w:p w14:paraId="305ABE01" w14:textId="77777777" w:rsidR="00EC4D87" w:rsidRDefault="00EC4D87" w:rsidP="006E6457">
      <w:pPr>
        <w:spacing w:after="0" w:line="240" w:lineRule="auto"/>
        <w:ind w:left="360"/>
        <w:jc w:val="both"/>
        <w:rPr>
          <w:rFonts w:eastAsia="Times New Roman" w:cstheme="minorHAnsi"/>
        </w:rPr>
      </w:pPr>
      <w:r w:rsidRPr="00EC4D87">
        <w:rPr>
          <w:rFonts w:eastAsia="Times New Roman" w:cstheme="minorHAnsi"/>
        </w:rPr>
        <w:t>The requirements for obtaining licensing/registration as a virtual asset provider in Abu Dhabi are outlined in the FSRA's Guidance on Regulation of Crypto Asset Activities in ADGM (the "Guidance"). According to the Guidance, a VASP that conducts Crypto Asset Business in or from the ADGM must be authorised by the FSRA of ADGM as a Regulated Crypto Asset Business (</w:t>
      </w:r>
      <w:r w:rsidRPr="00EC4D87">
        <w:rPr>
          <w:rFonts w:eastAsia="Times New Roman" w:cstheme="minorHAnsi"/>
          <w:b/>
          <w:bCs/>
        </w:rPr>
        <w:t>RCAB</w:t>
      </w:r>
      <w:r w:rsidRPr="00EC4D87">
        <w:rPr>
          <w:rFonts w:eastAsia="Times New Roman" w:cstheme="minorHAnsi"/>
        </w:rPr>
        <w:t xml:space="preserve">). </w:t>
      </w:r>
    </w:p>
    <w:p w14:paraId="43BC25B6" w14:textId="77777777" w:rsidR="00EC4D87" w:rsidRPr="00EC4D87" w:rsidRDefault="00EC4D87" w:rsidP="006E6457">
      <w:pPr>
        <w:spacing w:after="0" w:line="240" w:lineRule="auto"/>
        <w:ind w:left="360"/>
        <w:jc w:val="both"/>
        <w:rPr>
          <w:rFonts w:eastAsia="Times New Roman" w:cstheme="minorHAnsi"/>
        </w:rPr>
      </w:pPr>
    </w:p>
    <w:p w14:paraId="2437F01A" w14:textId="77777777" w:rsidR="00EC4D87" w:rsidRDefault="00EC4D87" w:rsidP="006E6457">
      <w:pPr>
        <w:spacing w:after="0" w:line="240" w:lineRule="auto"/>
        <w:ind w:left="360"/>
        <w:jc w:val="both"/>
        <w:rPr>
          <w:rFonts w:eastAsia="Times New Roman" w:cstheme="minorHAnsi"/>
        </w:rPr>
      </w:pPr>
      <w:r w:rsidRPr="00EC4D87">
        <w:rPr>
          <w:rFonts w:eastAsia="Times New Roman" w:cstheme="minorHAnsi"/>
        </w:rPr>
        <w:t>The following are the main requirements for obtaining an RCAB license in Abu Dhabi:</w:t>
      </w:r>
    </w:p>
    <w:p w14:paraId="1C12F394" w14:textId="77777777" w:rsidR="00EC4D87" w:rsidRPr="00EC4D87" w:rsidRDefault="00EC4D87" w:rsidP="006E6457">
      <w:pPr>
        <w:spacing w:after="0" w:line="240" w:lineRule="auto"/>
        <w:jc w:val="both"/>
        <w:rPr>
          <w:rFonts w:eastAsia="Times New Roman" w:cstheme="minorHAnsi"/>
        </w:rPr>
      </w:pPr>
    </w:p>
    <w:p w14:paraId="1102D0B7" w14:textId="77777777" w:rsidR="00EC4D87" w:rsidRDefault="00EC4D87" w:rsidP="006E6457">
      <w:pPr>
        <w:numPr>
          <w:ilvl w:val="0"/>
          <w:numId w:val="151"/>
        </w:numPr>
        <w:spacing w:after="0" w:line="240" w:lineRule="auto"/>
        <w:ind w:left="1080"/>
        <w:jc w:val="both"/>
        <w:rPr>
          <w:rFonts w:eastAsia="Times New Roman" w:cstheme="minorHAnsi"/>
        </w:rPr>
      </w:pPr>
      <w:r w:rsidRPr="00EC4D87">
        <w:rPr>
          <w:rFonts w:eastAsia="Times New Roman" w:cstheme="minorHAnsi"/>
          <w:u w:val="single"/>
        </w:rPr>
        <w:t>Eligibility requirements</w:t>
      </w:r>
      <w:r w:rsidRPr="00EC4D87">
        <w:rPr>
          <w:rFonts w:eastAsia="Times New Roman" w:cstheme="minorHAnsi"/>
        </w:rPr>
        <w:t>: To be considered for an RCAB license, the VASP must meet the following eligibility requirements:</w:t>
      </w:r>
    </w:p>
    <w:p w14:paraId="67B827BC" w14:textId="77777777" w:rsidR="00EC4D87" w:rsidRPr="00EC4D87" w:rsidRDefault="00EC4D87" w:rsidP="006E6457">
      <w:pPr>
        <w:spacing w:after="0" w:line="240" w:lineRule="auto"/>
        <w:ind w:left="1080"/>
        <w:jc w:val="both"/>
        <w:rPr>
          <w:rFonts w:eastAsia="Times New Roman" w:cstheme="minorHAnsi"/>
        </w:rPr>
      </w:pPr>
    </w:p>
    <w:p w14:paraId="340DC9F5" w14:textId="77777777" w:rsidR="00EC4D87" w:rsidRDefault="00EC4D87" w:rsidP="006E6457">
      <w:pPr>
        <w:numPr>
          <w:ilvl w:val="0"/>
          <w:numId w:val="152"/>
        </w:numPr>
        <w:spacing w:after="0" w:line="240" w:lineRule="auto"/>
        <w:ind w:left="1440"/>
        <w:jc w:val="both"/>
        <w:rPr>
          <w:rFonts w:eastAsia="Times New Roman" w:cstheme="minorHAnsi"/>
        </w:rPr>
      </w:pPr>
      <w:r w:rsidRPr="00EC4D87">
        <w:rPr>
          <w:rFonts w:eastAsia="Times New Roman" w:cstheme="minorHAnsi"/>
        </w:rPr>
        <w:t>Be duly incorporated under the relevant UAE laws and regulations and provide evidence of its incorporation,</w:t>
      </w:r>
    </w:p>
    <w:p w14:paraId="66A662AF" w14:textId="77777777" w:rsidR="00FE0DB1" w:rsidRPr="00EC4D87" w:rsidRDefault="00FE0DB1" w:rsidP="00FE0DB1">
      <w:pPr>
        <w:spacing w:after="0" w:line="240" w:lineRule="auto"/>
        <w:ind w:left="1440"/>
        <w:jc w:val="both"/>
        <w:rPr>
          <w:rFonts w:eastAsia="Times New Roman" w:cstheme="minorHAnsi"/>
        </w:rPr>
      </w:pPr>
    </w:p>
    <w:p w14:paraId="10098ECE" w14:textId="77777777" w:rsidR="00EC4D87" w:rsidRDefault="00EC4D87" w:rsidP="006E6457">
      <w:pPr>
        <w:numPr>
          <w:ilvl w:val="0"/>
          <w:numId w:val="152"/>
        </w:numPr>
        <w:spacing w:after="0" w:line="240" w:lineRule="auto"/>
        <w:ind w:left="1440"/>
        <w:jc w:val="both"/>
        <w:rPr>
          <w:rFonts w:eastAsia="Times New Roman" w:cstheme="minorHAnsi"/>
        </w:rPr>
      </w:pPr>
      <w:r w:rsidRPr="00EC4D87">
        <w:rPr>
          <w:rFonts w:eastAsia="Times New Roman" w:cstheme="minorHAnsi"/>
        </w:rPr>
        <w:t>Have a clear and specific business plan,</w:t>
      </w:r>
    </w:p>
    <w:p w14:paraId="5508EB8E" w14:textId="77777777" w:rsidR="00FE0DB1" w:rsidRPr="00EC4D87" w:rsidRDefault="00FE0DB1" w:rsidP="00FE0DB1">
      <w:pPr>
        <w:spacing w:after="0" w:line="240" w:lineRule="auto"/>
        <w:jc w:val="both"/>
        <w:rPr>
          <w:rFonts w:eastAsia="Times New Roman" w:cstheme="minorHAnsi"/>
        </w:rPr>
      </w:pPr>
    </w:p>
    <w:p w14:paraId="59B81D4C" w14:textId="77777777" w:rsidR="00EC4D87" w:rsidRDefault="00EC4D87" w:rsidP="006E6457">
      <w:pPr>
        <w:numPr>
          <w:ilvl w:val="0"/>
          <w:numId w:val="152"/>
        </w:numPr>
        <w:spacing w:after="0" w:line="240" w:lineRule="auto"/>
        <w:ind w:left="1440"/>
        <w:jc w:val="both"/>
        <w:rPr>
          <w:rFonts w:eastAsia="Times New Roman" w:cstheme="minorHAnsi"/>
        </w:rPr>
      </w:pPr>
      <w:r w:rsidRPr="00EC4D87">
        <w:rPr>
          <w:rFonts w:eastAsia="Times New Roman" w:cstheme="minorHAnsi"/>
        </w:rPr>
        <w:t>Have appropriate systems and controls in place, including strong AML/CFT controls, policies, and procedures,</w:t>
      </w:r>
    </w:p>
    <w:p w14:paraId="25A6442D" w14:textId="77777777" w:rsidR="00FE0DB1" w:rsidRPr="00EC4D87" w:rsidRDefault="00FE0DB1" w:rsidP="00FE0DB1">
      <w:pPr>
        <w:spacing w:after="0" w:line="240" w:lineRule="auto"/>
        <w:jc w:val="both"/>
        <w:rPr>
          <w:rFonts w:eastAsia="Times New Roman" w:cstheme="minorHAnsi"/>
        </w:rPr>
      </w:pPr>
    </w:p>
    <w:p w14:paraId="0748C9C0" w14:textId="77777777" w:rsidR="00EC4D87" w:rsidRDefault="00EC4D87" w:rsidP="006E6457">
      <w:pPr>
        <w:numPr>
          <w:ilvl w:val="0"/>
          <w:numId w:val="152"/>
        </w:numPr>
        <w:spacing w:after="0" w:line="240" w:lineRule="auto"/>
        <w:ind w:left="1440"/>
        <w:jc w:val="both"/>
        <w:rPr>
          <w:rFonts w:eastAsia="Times New Roman" w:cstheme="minorHAnsi"/>
        </w:rPr>
      </w:pPr>
      <w:r w:rsidRPr="00EC4D87">
        <w:rPr>
          <w:rFonts w:eastAsia="Times New Roman" w:cstheme="minorHAnsi"/>
        </w:rPr>
        <w:t>Have adequate financial and non-financial resources to carry on its Crypto Asset Business,</w:t>
      </w:r>
    </w:p>
    <w:p w14:paraId="1161BD30" w14:textId="77777777" w:rsidR="00FE0DB1" w:rsidRPr="00EC4D87" w:rsidRDefault="00FE0DB1" w:rsidP="00FE0DB1">
      <w:pPr>
        <w:spacing w:after="0" w:line="240" w:lineRule="auto"/>
        <w:jc w:val="both"/>
        <w:rPr>
          <w:rFonts w:eastAsia="Times New Roman" w:cstheme="minorHAnsi"/>
        </w:rPr>
      </w:pPr>
    </w:p>
    <w:p w14:paraId="0E7075C3" w14:textId="77777777" w:rsidR="00EC4D87" w:rsidRDefault="00EC4D87" w:rsidP="006E6457">
      <w:pPr>
        <w:numPr>
          <w:ilvl w:val="0"/>
          <w:numId w:val="152"/>
        </w:numPr>
        <w:spacing w:after="0" w:line="240" w:lineRule="auto"/>
        <w:ind w:left="1440"/>
        <w:jc w:val="both"/>
        <w:rPr>
          <w:rFonts w:eastAsia="Times New Roman" w:cstheme="minorHAnsi"/>
        </w:rPr>
      </w:pPr>
      <w:r w:rsidRPr="00EC4D87">
        <w:rPr>
          <w:rFonts w:eastAsia="Times New Roman" w:cstheme="minorHAnsi"/>
        </w:rPr>
        <w:t xml:space="preserve">Have sufficient </w:t>
      </w:r>
      <w:proofErr w:type="gramStart"/>
      <w:r w:rsidRPr="00EC4D87">
        <w:rPr>
          <w:rFonts w:eastAsia="Times New Roman" w:cstheme="minorHAnsi"/>
        </w:rPr>
        <w:t>technology</w:t>
      </w:r>
      <w:proofErr w:type="gramEnd"/>
      <w:r w:rsidRPr="00EC4D87">
        <w:rPr>
          <w:rFonts w:eastAsia="Times New Roman" w:cstheme="minorHAnsi"/>
        </w:rPr>
        <w:t xml:space="preserve"> resources to ensure the safe and efficient conduct of its operations in accordance with ADGM regulations,</w:t>
      </w:r>
    </w:p>
    <w:p w14:paraId="24ACBF31" w14:textId="77777777" w:rsidR="00FE0DB1" w:rsidRPr="00EC4D87" w:rsidRDefault="00FE0DB1" w:rsidP="00FE0DB1">
      <w:pPr>
        <w:spacing w:after="0" w:line="240" w:lineRule="auto"/>
        <w:jc w:val="both"/>
        <w:rPr>
          <w:rFonts w:eastAsia="Times New Roman" w:cstheme="minorHAnsi"/>
        </w:rPr>
      </w:pPr>
    </w:p>
    <w:p w14:paraId="0B62775C" w14:textId="77777777" w:rsidR="00EC4D87" w:rsidRDefault="00EC4D87" w:rsidP="006E6457">
      <w:pPr>
        <w:numPr>
          <w:ilvl w:val="0"/>
          <w:numId w:val="152"/>
        </w:numPr>
        <w:spacing w:after="0" w:line="240" w:lineRule="auto"/>
        <w:ind w:left="1440"/>
        <w:jc w:val="both"/>
        <w:rPr>
          <w:rFonts w:eastAsia="Times New Roman" w:cstheme="minorHAnsi"/>
        </w:rPr>
      </w:pPr>
      <w:r w:rsidRPr="00EC4D87">
        <w:rPr>
          <w:rFonts w:eastAsia="Times New Roman" w:cstheme="minorHAnsi"/>
        </w:rPr>
        <w:t>Show that the past and current performance of any of its directors, officers, or senior management do not pose any concerns to the FSRA,</w:t>
      </w:r>
    </w:p>
    <w:p w14:paraId="4195C1FB" w14:textId="77777777" w:rsidR="00FE0DB1" w:rsidRPr="00EC4D87" w:rsidRDefault="00FE0DB1" w:rsidP="00FE0DB1">
      <w:pPr>
        <w:spacing w:after="0" w:line="240" w:lineRule="auto"/>
        <w:jc w:val="both"/>
        <w:rPr>
          <w:rFonts w:eastAsia="Times New Roman" w:cstheme="minorHAnsi"/>
        </w:rPr>
      </w:pPr>
    </w:p>
    <w:p w14:paraId="5B89BCC4" w14:textId="77777777" w:rsidR="00EC4D87" w:rsidRDefault="00EC4D87" w:rsidP="006E6457">
      <w:pPr>
        <w:numPr>
          <w:ilvl w:val="0"/>
          <w:numId w:val="152"/>
        </w:numPr>
        <w:spacing w:after="0" w:line="240" w:lineRule="auto"/>
        <w:ind w:left="1440"/>
        <w:jc w:val="both"/>
        <w:rPr>
          <w:rFonts w:eastAsia="Times New Roman" w:cstheme="minorHAnsi"/>
        </w:rPr>
      </w:pPr>
      <w:r w:rsidRPr="00EC4D87">
        <w:rPr>
          <w:rFonts w:eastAsia="Times New Roman" w:cstheme="minorHAnsi"/>
        </w:rPr>
        <w:t>Do not present any significant risks to the interests of customers, the ADGM, or the wider financial system, and</w:t>
      </w:r>
    </w:p>
    <w:p w14:paraId="41811C55" w14:textId="77777777" w:rsidR="00FE0DB1" w:rsidRPr="00EC4D87" w:rsidRDefault="00FE0DB1" w:rsidP="00FE0DB1">
      <w:pPr>
        <w:spacing w:after="0" w:line="240" w:lineRule="auto"/>
        <w:jc w:val="both"/>
        <w:rPr>
          <w:rFonts w:eastAsia="Times New Roman" w:cstheme="minorHAnsi"/>
        </w:rPr>
      </w:pPr>
    </w:p>
    <w:p w14:paraId="4E1B9BD2" w14:textId="77777777" w:rsidR="00EC4D87" w:rsidRPr="00EC4D87" w:rsidRDefault="00EC4D87" w:rsidP="006E6457">
      <w:pPr>
        <w:numPr>
          <w:ilvl w:val="0"/>
          <w:numId w:val="152"/>
        </w:numPr>
        <w:spacing w:after="0" w:line="240" w:lineRule="auto"/>
        <w:ind w:left="1440"/>
        <w:jc w:val="both"/>
        <w:rPr>
          <w:rFonts w:eastAsia="Times New Roman" w:cstheme="minorHAnsi"/>
        </w:rPr>
      </w:pPr>
      <w:r w:rsidRPr="00EC4D87">
        <w:rPr>
          <w:rFonts w:eastAsia="Times New Roman" w:cstheme="minorHAnsi"/>
        </w:rPr>
        <w:t>Carry on its activities in accordance with the applicable ADGM regulations, including those related to AML/CFT.</w:t>
      </w:r>
    </w:p>
    <w:p w14:paraId="1435A15B" w14:textId="77777777" w:rsidR="00EC4D87" w:rsidRPr="00EC4D87" w:rsidRDefault="00EC4D87" w:rsidP="006E6457">
      <w:pPr>
        <w:spacing w:after="0" w:line="240" w:lineRule="auto"/>
        <w:ind w:left="360"/>
        <w:jc w:val="both"/>
        <w:rPr>
          <w:rFonts w:eastAsia="Times New Roman" w:cstheme="minorHAnsi"/>
        </w:rPr>
      </w:pPr>
    </w:p>
    <w:p w14:paraId="687BE045" w14:textId="77777777" w:rsidR="00EC4D87" w:rsidRDefault="00EC4D87" w:rsidP="006E6457">
      <w:pPr>
        <w:numPr>
          <w:ilvl w:val="0"/>
          <w:numId w:val="151"/>
        </w:numPr>
        <w:spacing w:after="0" w:line="240" w:lineRule="auto"/>
        <w:ind w:left="1080"/>
        <w:jc w:val="both"/>
        <w:rPr>
          <w:rFonts w:eastAsia="Times New Roman" w:cstheme="minorHAnsi"/>
        </w:rPr>
      </w:pPr>
      <w:r w:rsidRPr="00EC4D87">
        <w:rPr>
          <w:rFonts w:eastAsia="Times New Roman" w:cstheme="minorHAnsi"/>
          <w:u w:val="single"/>
        </w:rPr>
        <w:t>Application and supporting documentation</w:t>
      </w:r>
      <w:r w:rsidRPr="00EC4D87">
        <w:rPr>
          <w:rFonts w:eastAsia="Times New Roman" w:cstheme="minorHAnsi"/>
        </w:rPr>
        <w:t xml:space="preserve">: The VASP must </w:t>
      </w:r>
      <w:proofErr w:type="gramStart"/>
      <w:r w:rsidRPr="00EC4D87">
        <w:rPr>
          <w:rFonts w:eastAsia="Times New Roman" w:cstheme="minorHAnsi"/>
        </w:rPr>
        <w:t>submit an application</w:t>
      </w:r>
      <w:proofErr w:type="gramEnd"/>
      <w:r w:rsidRPr="00EC4D87">
        <w:rPr>
          <w:rFonts w:eastAsia="Times New Roman" w:cstheme="minorHAnsi"/>
        </w:rPr>
        <w:t xml:space="preserve"> for authorisation to the FSRA, which should include:</w:t>
      </w:r>
    </w:p>
    <w:p w14:paraId="10B4358F" w14:textId="77777777" w:rsidR="00EC4D87" w:rsidRPr="00EC4D87" w:rsidRDefault="00EC4D87" w:rsidP="006E6457">
      <w:pPr>
        <w:spacing w:after="0" w:line="240" w:lineRule="auto"/>
        <w:ind w:left="1080"/>
        <w:jc w:val="both"/>
        <w:rPr>
          <w:rFonts w:eastAsia="Times New Roman" w:cstheme="minorHAnsi"/>
        </w:rPr>
      </w:pPr>
    </w:p>
    <w:p w14:paraId="7357AA74" w14:textId="77777777" w:rsidR="00EC4D87" w:rsidRDefault="00EC4D87" w:rsidP="006E6457">
      <w:pPr>
        <w:numPr>
          <w:ilvl w:val="0"/>
          <w:numId w:val="153"/>
        </w:numPr>
        <w:spacing w:after="0" w:line="240" w:lineRule="auto"/>
        <w:ind w:left="1440"/>
        <w:jc w:val="both"/>
        <w:rPr>
          <w:rFonts w:eastAsia="Times New Roman" w:cstheme="minorHAnsi"/>
        </w:rPr>
      </w:pPr>
      <w:r w:rsidRPr="00EC4D87">
        <w:rPr>
          <w:rFonts w:eastAsia="Times New Roman" w:cstheme="minorHAnsi"/>
        </w:rPr>
        <w:lastRenderedPageBreak/>
        <w:t xml:space="preserve">A detailed business plan </w:t>
      </w:r>
      <w:proofErr w:type="gramStart"/>
      <w:r w:rsidRPr="00EC4D87">
        <w:rPr>
          <w:rFonts w:eastAsia="Times New Roman" w:cstheme="minorHAnsi"/>
        </w:rPr>
        <w:t>of</w:t>
      </w:r>
      <w:proofErr w:type="gramEnd"/>
      <w:r w:rsidRPr="00EC4D87">
        <w:rPr>
          <w:rFonts w:eastAsia="Times New Roman" w:cstheme="minorHAnsi"/>
        </w:rPr>
        <w:t xml:space="preserve"> the Crypto Asset Business,</w:t>
      </w:r>
    </w:p>
    <w:p w14:paraId="400B7E0B" w14:textId="77777777" w:rsidR="00FE0DB1" w:rsidRPr="00EC4D87" w:rsidRDefault="00FE0DB1" w:rsidP="00FE0DB1">
      <w:pPr>
        <w:spacing w:after="0" w:line="240" w:lineRule="auto"/>
        <w:ind w:left="1080"/>
        <w:jc w:val="both"/>
        <w:rPr>
          <w:rFonts w:eastAsia="Times New Roman" w:cstheme="minorHAnsi"/>
        </w:rPr>
      </w:pPr>
    </w:p>
    <w:p w14:paraId="053319DB" w14:textId="77777777" w:rsidR="00EC4D87" w:rsidRDefault="00EC4D87" w:rsidP="006E6457">
      <w:pPr>
        <w:numPr>
          <w:ilvl w:val="0"/>
          <w:numId w:val="153"/>
        </w:numPr>
        <w:spacing w:after="0" w:line="240" w:lineRule="auto"/>
        <w:ind w:left="1440"/>
        <w:jc w:val="both"/>
        <w:rPr>
          <w:rFonts w:eastAsia="Times New Roman" w:cstheme="minorHAnsi"/>
        </w:rPr>
      </w:pPr>
      <w:r w:rsidRPr="00EC4D87">
        <w:rPr>
          <w:rFonts w:eastAsia="Times New Roman" w:cstheme="minorHAnsi"/>
        </w:rPr>
        <w:t>A detailed description of the Crypto Asset Business, including the proposed activities and services to be offered,</w:t>
      </w:r>
    </w:p>
    <w:p w14:paraId="5EEF220C" w14:textId="77777777" w:rsidR="00FE0DB1" w:rsidRPr="00EC4D87" w:rsidRDefault="00FE0DB1" w:rsidP="00FE0DB1">
      <w:pPr>
        <w:spacing w:after="0" w:line="240" w:lineRule="auto"/>
        <w:jc w:val="both"/>
        <w:rPr>
          <w:rFonts w:eastAsia="Times New Roman" w:cstheme="minorHAnsi"/>
        </w:rPr>
      </w:pPr>
    </w:p>
    <w:p w14:paraId="1473A7D3" w14:textId="77777777" w:rsidR="00EC4D87" w:rsidRDefault="00EC4D87" w:rsidP="006E6457">
      <w:pPr>
        <w:numPr>
          <w:ilvl w:val="0"/>
          <w:numId w:val="153"/>
        </w:numPr>
        <w:spacing w:after="0" w:line="240" w:lineRule="auto"/>
        <w:ind w:left="1440"/>
        <w:jc w:val="both"/>
        <w:rPr>
          <w:rFonts w:eastAsia="Times New Roman" w:cstheme="minorHAnsi"/>
        </w:rPr>
      </w:pPr>
      <w:r w:rsidRPr="00EC4D87">
        <w:rPr>
          <w:rFonts w:eastAsia="Times New Roman" w:cstheme="minorHAnsi"/>
        </w:rPr>
        <w:t>A detailed description of the Crypto Assets that will be offered, including a rationale for their selection,</w:t>
      </w:r>
    </w:p>
    <w:p w14:paraId="0EBCE2CF" w14:textId="77777777" w:rsidR="00FE0DB1" w:rsidRPr="00EC4D87" w:rsidRDefault="00FE0DB1" w:rsidP="00FE0DB1">
      <w:pPr>
        <w:spacing w:after="0" w:line="240" w:lineRule="auto"/>
        <w:jc w:val="both"/>
        <w:rPr>
          <w:rFonts w:eastAsia="Times New Roman" w:cstheme="minorHAnsi"/>
        </w:rPr>
      </w:pPr>
    </w:p>
    <w:p w14:paraId="33FA0525" w14:textId="77777777" w:rsidR="00EC4D87" w:rsidRDefault="00EC4D87" w:rsidP="006E6457">
      <w:pPr>
        <w:numPr>
          <w:ilvl w:val="0"/>
          <w:numId w:val="153"/>
        </w:numPr>
        <w:spacing w:after="0" w:line="240" w:lineRule="auto"/>
        <w:ind w:left="1440"/>
        <w:jc w:val="both"/>
        <w:rPr>
          <w:rFonts w:eastAsia="Times New Roman" w:cstheme="minorHAnsi"/>
        </w:rPr>
      </w:pPr>
      <w:r w:rsidRPr="00EC4D87">
        <w:rPr>
          <w:rFonts w:eastAsia="Times New Roman" w:cstheme="minorHAnsi"/>
        </w:rPr>
        <w:t>Details of the VASP's compliance arrangements, including AML/CFT policies and procedures,</w:t>
      </w:r>
    </w:p>
    <w:p w14:paraId="26CFDD1E" w14:textId="77777777" w:rsidR="00FE0DB1" w:rsidRPr="00EC4D87" w:rsidRDefault="00FE0DB1" w:rsidP="00FE0DB1">
      <w:pPr>
        <w:spacing w:after="0" w:line="240" w:lineRule="auto"/>
        <w:jc w:val="both"/>
        <w:rPr>
          <w:rFonts w:eastAsia="Times New Roman" w:cstheme="minorHAnsi"/>
        </w:rPr>
      </w:pPr>
    </w:p>
    <w:p w14:paraId="19A43ED3" w14:textId="77777777" w:rsidR="00EC4D87" w:rsidRDefault="00EC4D87" w:rsidP="006E6457">
      <w:pPr>
        <w:numPr>
          <w:ilvl w:val="0"/>
          <w:numId w:val="153"/>
        </w:numPr>
        <w:spacing w:after="0" w:line="240" w:lineRule="auto"/>
        <w:ind w:left="1440"/>
        <w:jc w:val="both"/>
        <w:rPr>
          <w:rFonts w:eastAsia="Times New Roman" w:cstheme="minorHAnsi"/>
        </w:rPr>
      </w:pPr>
      <w:r w:rsidRPr="00EC4D87">
        <w:rPr>
          <w:rFonts w:eastAsia="Times New Roman" w:cstheme="minorHAnsi"/>
        </w:rPr>
        <w:t xml:space="preserve">Details of </w:t>
      </w:r>
      <w:proofErr w:type="gramStart"/>
      <w:r w:rsidRPr="00EC4D87">
        <w:rPr>
          <w:rFonts w:eastAsia="Times New Roman" w:cstheme="minorHAnsi"/>
        </w:rPr>
        <w:t>the VASP's</w:t>
      </w:r>
      <w:proofErr w:type="gramEnd"/>
      <w:r w:rsidRPr="00EC4D87">
        <w:rPr>
          <w:rFonts w:eastAsia="Times New Roman" w:cstheme="minorHAnsi"/>
        </w:rPr>
        <w:t xml:space="preserve"> governance arrangements, including details of relevant individuals involved in the business,</w:t>
      </w:r>
    </w:p>
    <w:p w14:paraId="5BE8C0AF" w14:textId="77777777" w:rsidR="00FE0DB1" w:rsidRPr="00EC4D87" w:rsidRDefault="00FE0DB1" w:rsidP="00FE0DB1">
      <w:pPr>
        <w:spacing w:after="0" w:line="240" w:lineRule="auto"/>
        <w:jc w:val="both"/>
        <w:rPr>
          <w:rFonts w:eastAsia="Times New Roman" w:cstheme="minorHAnsi"/>
        </w:rPr>
      </w:pPr>
    </w:p>
    <w:p w14:paraId="4D0AEB16" w14:textId="77777777" w:rsidR="00EC4D87" w:rsidRDefault="00EC4D87" w:rsidP="006E6457">
      <w:pPr>
        <w:numPr>
          <w:ilvl w:val="0"/>
          <w:numId w:val="153"/>
        </w:numPr>
        <w:spacing w:after="0" w:line="240" w:lineRule="auto"/>
        <w:ind w:left="1440"/>
        <w:jc w:val="both"/>
        <w:rPr>
          <w:rFonts w:eastAsia="Times New Roman" w:cstheme="minorHAnsi"/>
        </w:rPr>
      </w:pPr>
      <w:r w:rsidRPr="00EC4D87">
        <w:rPr>
          <w:rFonts w:eastAsia="Times New Roman" w:cstheme="minorHAnsi"/>
        </w:rPr>
        <w:t>Details of the VASP's financial resources, including details of its capital and liquidity,</w:t>
      </w:r>
    </w:p>
    <w:p w14:paraId="1595A32C" w14:textId="77777777" w:rsidR="00FE0DB1" w:rsidRPr="00EC4D87" w:rsidRDefault="00FE0DB1" w:rsidP="00FE0DB1">
      <w:pPr>
        <w:spacing w:after="0" w:line="240" w:lineRule="auto"/>
        <w:jc w:val="both"/>
        <w:rPr>
          <w:rFonts w:eastAsia="Times New Roman" w:cstheme="minorHAnsi"/>
        </w:rPr>
      </w:pPr>
    </w:p>
    <w:p w14:paraId="36E97AF1" w14:textId="77777777" w:rsidR="00EC4D87" w:rsidRDefault="00EC4D87" w:rsidP="006E6457">
      <w:pPr>
        <w:numPr>
          <w:ilvl w:val="0"/>
          <w:numId w:val="153"/>
        </w:numPr>
        <w:spacing w:after="0" w:line="240" w:lineRule="auto"/>
        <w:ind w:left="1440"/>
        <w:jc w:val="both"/>
        <w:rPr>
          <w:rFonts w:eastAsia="Times New Roman" w:cstheme="minorHAnsi"/>
        </w:rPr>
      </w:pPr>
      <w:r w:rsidRPr="00EC4D87">
        <w:rPr>
          <w:rFonts w:eastAsia="Times New Roman" w:cstheme="minorHAnsi"/>
        </w:rPr>
        <w:t>A clear description of the information technology systems, platforms, and infrastructure to be used,</w:t>
      </w:r>
    </w:p>
    <w:p w14:paraId="061462CC" w14:textId="77777777" w:rsidR="00FE0DB1" w:rsidRPr="00EC4D87" w:rsidRDefault="00FE0DB1" w:rsidP="00FE0DB1">
      <w:pPr>
        <w:spacing w:after="0" w:line="240" w:lineRule="auto"/>
        <w:jc w:val="both"/>
        <w:rPr>
          <w:rFonts w:eastAsia="Times New Roman" w:cstheme="minorHAnsi"/>
        </w:rPr>
      </w:pPr>
    </w:p>
    <w:p w14:paraId="361E421F" w14:textId="77777777" w:rsidR="00EC4D87" w:rsidRDefault="00EC4D87" w:rsidP="006E6457">
      <w:pPr>
        <w:numPr>
          <w:ilvl w:val="0"/>
          <w:numId w:val="153"/>
        </w:numPr>
        <w:spacing w:after="0" w:line="240" w:lineRule="auto"/>
        <w:ind w:left="1440"/>
        <w:jc w:val="both"/>
        <w:rPr>
          <w:rFonts w:eastAsia="Times New Roman" w:cstheme="minorHAnsi"/>
        </w:rPr>
      </w:pPr>
      <w:r w:rsidRPr="00EC4D87">
        <w:rPr>
          <w:rFonts w:eastAsia="Times New Roman" w:cstheme="minorHAnsi"/>
        </w:rPr>
        <w:t>Details of the VASP's audited financial statements and tax returns,</w:t>
      </w:r>
    </w:p>
    <w:p w14:paraId="7E0260EE" w14:textId="77777777" w:rsidR="00FE0DB1" w:rsidRPr="00EC4D87" w:rsidRDefault="00FE0DB1" w:rsidP="00FE0DB1">
      <w:pPr>
        <w:spacing w:after="0" w:line="240" w:lineRule="auto"/>
        <w:jc w:val="both"/>
        <w:rPr>
          <w:rFonts w:eastAsia="Times New Roman" w:cstheme="minorHAnsi"/>
        </w:rPr>
      </w:pPr>
    </w:p>
    <w:p w14:paraId="41DB7F8B" w14:textId="77777777" w:rsidR="00EC4D87" w:rsidRDefault="00EC4D87" w:rsidP="006E6457">
      <w:pPr>
        <w:numPr>
          <w:ilvl w:val="0"/>
          <w:numId w:val="153"/>
        </w:numPr>
        <w:spacing w:after="0" w:line="240" w:lineRule="auto"/>
        <w:ind w:left="1440"/>
        <w:jc w:val="both"/>
        <w:rPr>
          <w:rFonts w:eastAsia="Times New Roman" w:cstheme="minorHAnsi"/>
        </w:rPr>
      </w:pPr>
      <w:r w:rsidRPr="00EC4D87">
        <w:rPr>
          <w:rFonts w:eastAsia="Times New Roman" w:cstheme="minorHAnsi"/>
        </w:rPr>
        <w:t>Details of the VASP's ownership structure, and</w:t>
      </w:r>
    </w:p>
    <w:p w14:paraId="76427771" w14:textId="77777777" w:rsidR="00FE0DB1" w:rsidRPr="00EC4D87" w:rsidRDefault="00FE0DB1" w:rsidP="00FE0DB1">
      <w:pPr>
        <w:spacing w:after="0" w:line="240" w:lineRule="auto"/>
        <w:jc w:val="both"/>
        <w:rPr>
          <w:rFonts w:eastAsia="Times New Roman" w:cstheme="minorHAnsi"/>
        </w:rPr>
      </w:pPr>
    </w:p>
    <w:p w14:paraId="1CB8E0FF" w14:textId="77777777" w:rsidR="00EC4D87" w:rsidRPr="00EC4D87" w:rsidRDefault="00EC4D87" w:rsidP="006E6457">
      <w:pPr>
        <w:numPr>
          <w:ilvl w:val="0"/>
          <w:numId w:val="153"/>
        </w:numPr>
        <w:spacing w:after="0" w:line="240" w:lineRule="auto"/>
        <w:ind w:left="1440"/>
        <w:jc w:val="both"/>
        <w:rPr>
          <w:rFonts w:eastAsia="Times New Roman" w:cstheme="minorHAnsi"/>
        </w:rPr>
      </w:pPr>
      <w:r w:rsidRPr="00EC4D87">
        <w:rPr>
          <w:rFonts w:eastAsia="Times New Roman" w:cstheme="minorHAnsi"/>
        </w:rPr>
        <w:t>Any other supporting documentation that the FSRA may request from time to time.</w:t>
      </w:r>
    </w:p>
    <w:p w14:paraId="7B9C66E2" w14:textId="77777777" w:rsidR="00EC4D87" w:rsidRPr="00EC4D87" w:rsidRDefault="00EC4D87" w:rsidP="006E6457">
      <w:pPr>
        <w:spacing w:after="0" w:line="240" w:lineRule="auto"/>
        <w:ind w:left="360"/>
        <w:jc w:val="both"/>
        <w:rPr>
          <w:rFonts w:eastAsia="Times New Roman" w:cstheme="minorHAnsi"/>
        </w:rPr>
      </w:pPr>
    </w:p>
    <w:p w14:paraId="294D8FE2" w14:textId="77777777" w:rsidR="006E5422" w:rsidRDefault="00EC4D87" w:rsidP="006E5422">
      <w:pPr>
        <w:numPr>
          <w:ilvl w:val="0"/>
          <w:numId w:val="151"/>
        </w:numPr>
        <w:spacing w:after="0" w:line="240" w:lineRule="auto"/>
        <w:ind w:left="1080"/>
        <w:jc w:val="both"/>
        <w:rPr>
          <w:rFonts w:eastAsia="Times New Roman" w:cstheme="minorHAnsi"/>
        </w:rPr>
      </w:pPr>
      <w:r w:rsidRPr="00EC4D87">
        <w:rPr>
          <w:rFonts w:eastAsia="Times New Roman" w:cstheme="minorHAnsi"/>
          <w:u w:val="single"/>
        </w:rPr>
        <w:t>Additional requirements</w:t>
      </w:r>
      <w:r w:rsidRPr="00EC4D87">
        <w:rPr>
          <w:rFonts w:eastAsia="Times New Roman" w:cstheme="minorHAnsi"/>
        </w:rPr>
        <w:t xml:space="preserve">: During the application process, </w:t>
      </w:r>
      <w:proofErr w:type="gramStart"/>
      <w:r w:rsidRPr="00EC4D87">
        <w:rPr>
          <w:rFonts w:eastAsia="Times New Roman" w:cstheme="minorHAnsi"/>
        </w:rPr>
        <w:t>the VASP</w:t>
      </w:r>
      <w:proofErr w:type="gramEnd"/>
      <w:r w:rsidRPr="00EC4D87">
        <w:rPr>
          <w:rFonts w:eastAsia="Times New Roman" w:cstheme="minorHAnsi"/>
        </w:rPr>
        <w:t xml:space="preserve"> must demonstrate that it has adequate systems and controls in place to monitor the risks associated with Crypto Asset Business activities, including the risks of conducting business in a rapidly evolving and innovative ecosystem. They should also have the ability to comply with regulatory </w:t>
      </w:r>
      <w:proofErr w:type="gramStart"/>
      <w:r w:rsidRPr="00EC4D87">
        <w:rPr>
          <w:rFonts w:eastAsia="Times New Roman" w:cstheme="minorHAnsi"/>
        </w:rPr>
        <w:t>requirements, and</w:t>
      </w:r>
      <w:proofErr w:type="gramEnd"/>
      <w:r w:rsidRPr="00EC4D87">
        <w:rPr>
          <w:rFonts w:eastAsia="Times New Roman" w:cstheme="minorHAnsi"/>
        </w:rPr>
        <w:t xml:space="preserve"> ensure the protection of consumer interests. The FSRA may conduct on-site visits at </w:t>
      </w:r>
      <w:proofErr w:type="gramStart"/>
      <w:r w:rsidRPr="00EC4D87">
        <w:rPr>
          <w:rFonts w:eastAsia="Times New Roman" w:cstheme="minorHAnsi"/>
        </w:rPr>
        <w:t>the VASP's</w:t>
      </w:r>
      <w:proofErr w:type="gramEnd"/>
      <w:r w:rsidRPr="00EC4D87">
        <w:rPr>
          <w:rFonts w:eastAsia="Times New Roman" w:cstheme="minorHAnsi"/>
        </w:rPr>
        <w:t xml:space="preserve"> premises to assess compliance with the applicable regulatory requirements. The VASP must also maintain adequate insurance coverage to ensure that losses or claims resulting from its activities are covered.</w:t>
      </w:r>
    </w:p>
    <w:p w14:paraId="47790303" w14:textId="77777777" w:rsidR="006E5422" w:rsidRPr="006E5422" w:rsidRDefault="006E5422" w:rsidP="006E5422">
      <w:pPr>
        <w:spacing w:after="0" w:line="240" w:lineRule="auto"/>
        <w:ind w:left="1080"/>
        <w:jc w:val="both"/>
        <w:rPr>
          <w:rFonts w:eastAsia="Times New Roman" w:cstheme="minorHAnsi"/>
        </w:rPr>
      </w:pPr>
    </w:p>
    <w:p w14:paraId="48911D17" w14:textId="1F958E18" w:rsidR="008A7848" w:rsidRPr="006E5422" w:rsidRDefault="00EC4D87" w:rsidP="006E5422">
      <w:pPr>
        <w:numPr>
          <w:ilvl w:val="0"/>
          <w:numId w:val="151"/>
        </w:numPr>
        <w:spacing w:after="0" w:line="240" w:lineRule="auto"/>
        <w:ind w:left="1080"/>
        <w:jc w:val="both"/>
        <w:rPr>
          <w:rFonts w:eastAsia="Times New Roman" w:cstheme="minorHAnsi"/>
        </w:rPr>
      </w:pPr>
      <w:r w:rsidRPr="006E5422">
        <w:rPr>
          <w:rFonts w:eastAsia="Times New Roman" w:cstheme="minorHAnsi"/>
          <w:u w:val="single"/>
        </w:rPr>
        <w:t>Licensing Fees</w:t>
      </w:r>
      <w:r w:rsidRPr="006E5422">
        <w:rPr>
          <w:rFonts w:eastAsia="Times New Roman" w:cstheme="minorHAnsi"/>
        </w:rPr>
        <w:t>: In terms of licensing fees, the FSRA maintains a structured fee schedule for VASPs operating within the ADGM. These fees are designed to reflect the nature and scope of the activities being conducted. Notably, if an applicant intends to conduct multiple regulated activities related to virtual assets, the fees will be cumulative, meaning that each regulated activity incurs its own set of authorisation and supervision fees. This can add up significantly depending on the number of services offered. The initial application fee for obtaining a Financial Services Permission to conduct virtual asset activities is set at AED 10,000, followed by annual supervision fees that vary based on the scale and complexity of operations. Additionally, applicants should consider potential extra costs associated with compliance, such as those related to AML training and systems implementation, which are mandatory under regulations.</w:t>
      </w:r>
    </w:p>
    <w:p w14:paraId="65E7A7A3" w14:textId="77777777" w:rsidR="0028403B" w:rsidRPr="00B0292B" w:rsidRDefault="0028403B" w:rsidP="006E6457">
      <w:pPr>
        <w:spacing w:after="0" w:line="240" w:lineRule="auto"/>
        <w:jc w:val="both"/>
        <w:rPr>
          <w:rFonts w:eastAsia="Times New Roman" w:cstheme="minorHAnsi"/>
          <w:b/>
          <w:bCs/>
          <w:u w:val="single"/>
          <w:lang w:val="en-SG"/>
        </w:rPr>
      </w:pPr>
    </w:p>
    <w:p w14:paraId="13DB5183" w14:textId="1CA9AEDD" w:rsidR="008227AD" w:rsidRDefault="009E6883" w:rsidP="006E6457">
      <w:pPr>
        <w:pStyle w:val="ListParagraph"/>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What are the main ongoing requirements for VASPs regulated </w:t>
      </w:r>
      <w:r w:rsidR="00DD2CD2">
        <w:rPr>
          <w:rFonts w:eastAsia="Times New Roman" w:cstheme="minorHAnsi"/>
          <w:b/>
          <w:bCs/>
          <w:u w:val="single"/>
          <w:lang w:val="en-SG"/>
        </w:rPr>
        <w:t>in Abu Dhabi</w:t>
      </w:r>
      <w:r w:rsidRPr="00644B77">
        <w:rPr>
          <w:rFonts w:eastAsia="Times New Roman" w:cstheme="minorHAnsi"/>
          <w:b/>
          <w:bCs/>
          <w:u w:val="single"/>
          <w:lang w:val="en-SG"/>
        </w:rPr>
        <w:t>?</w:t>
      </w:r>
    </w:p>
    <w:p w14:paraId="330CFC1E" w14:textId="77777777" w:rsidR="008227AD" w:rsidRDefault="008227AD" w:rsidP="006E6457">
      <w:pPr>
        <w:pStyle w:val="ListParagraph"/>
        <w:spacing w:after="0" w:line="240" w:lineRule="auto"/>
        <w:ind w:left="360"/>
        <w:jc w:val="both"/>
        <w:rPr>
          <w:rFonts w:eastAsia="Times New Roman" w:cstheme="minorHAnsi"/>
          <w:b/>
          <w:bCs/>
          <w:u w:val="single"/>
          <w:lang w:val="en-SG"/>
        </w:rPr>
      </w:pPr>
    </w:p>
    <w:p w14:paraId="18B6D651" w14:textId="77777777" w:rsidR="005C68A0" w:rsidRDefault="005C68A0" w:rsidP="006E6457">
      <w:pPr>
        <w:spacing w:after="0" w:line="240" w:lineRule="auto"/>
        <w:ind w:left="360"/>
        <w:jc w:val="both"/>
        <w:rPr>
          <w:rFonts w:eastAsia="Times New Roman" w:cstheme="minorHAnsi"/>
        </w:rPr>
      </w:pPr>
      <w:r w:rsidRPr="005C68A0">
        <w:rPr>
          <w:rFonts w:eastAsia="Times New Roman" w:cstheme="minorHAnsi"/>
        </w:rPr>
        <w:lastRenderedPageBreak/>
        <w:t>Ongoing Requirements for Virtual Asset Service Providers in Abu Dhabi:</w:t>
      </w:r>
    </w:p>
    <w:p w14:paraId="14FB0A16" w14:textId="77777777" w:rsidR="005C68A0" w:rsidRPr="005C68A0" w:rsidRDefault="005C68A0" w:rsidP="006E6457">
      <w:pPr>
        <w:spacing w:after="0" w:line="240" w:lineRule="auto"/>
        <w:ind w:left="360"/>
        <w:jc w:val="both"/>
        <w:rPr>
          <w:rFonts w:eastAsia="Times New Roman" w:cstheme="minorHAnsi"/>
        </w:rPr>
      </w:pPr>
    </w:p>
    <w:p w14:paraId="3948ABC2" w14:textId="77777777" w:rsidR="005C68A0" w:rsidRPr="005C68A0" w:rsidRDefault="005C68A0" w:rsidP="006E6457">
      <w:pPr>
        <w:numPr>
          <w:ilvl w:val="0"/>
          <w:numId w:val="154"/>
        </w:numPr>
        <w:spacing w:after="0" w:line="240" w:lineRule="auto"/>
        <w:ind w:left="1080"/>
        <w:jc w:val="both"/>
        <w:rPr>
          <w:rFonts w:eastAsia="Times New Roman" w:cstheme="minorHAnsi"/>
        </w:rPr>
      </w:pPr>
      <w:r w:rsidRPr="005C68A0">
        <w:rPr>
          <w:rFonts w:eastAsia="Times New Roman" w:cstheme="minorHAnsi"/>
          <w:u w:val="single"/>
        </w:rPr>
        <w:t>Governance and Compliance</w:t>
      </w:r>
      <w:r w:rsidRPr="005C68A0">
        <w:rPr>
          <w:rFonts w:eastAsia="Times New Roman" w:cstheme="minorHAnsi"/>
        </w:rPr>
        <w:t>: VASPs must establish effective governance structures and risk management systems to adhere to ADGM regulations, covering areas such as anti-money laundering, data protection, and cybersecurity.</w:t>
      </w:r>
    </w:p>
    <w:p w14:paraId="33F20326" w14:textId="77777777" w:rsidR="005C68A0" w:rsidRPr="005C68A0" w:rsidRDefault="005C68A0" w:rsidP="006E6457">
      <w:pPr>
        <w:spacing w:after="0" w:line="240" w:lineRule="auto"/>
        <w:ind w:left="360"/>
        <w:jc w:val="both"/>
        <w:rPr>
          <w:rFonts w:eastAsia="Times New Roman" w:cstheme="minorHAnsi"/>
        </w:rPr>
      </w:pPr>
    </w:p>
    <w:p w14:paraId="666FA231" w14:textId="77777777" w:rsidR="005C68A0" w:rsidRPr="005C68A0" w:rsidRDefault="005C68A0" w:rsidP="006E6457">
      <w:pPr>
        <w:numPr>
          <w:ilvl w:val="0"/>
          <w:numId w:val="154"/>
        </w:numPr>
        <w:spacing w:after="0" w:line="240" w:lineRule="auto"/>
        <w:ind w:left="1080"/>
        <w:jc w:val="both"/>
        <w:rPr>
          <w:rFonts w:eastAsia="Times New Roman" w:cstheme="minorHAnsi"/>
        </w:rPr>
      </w:pPr>
      <w:r w:rsidRPr="005C68A0">
        <w:rPr>
          <w:rFonts w:eastAsia="Times New Roman" w:cstheme="minorHAnsi"/>
          <w:u w:val="single"/>
        </w:rPr>
        <w:t>Financial Reporting and Audit</w:t>
      </w:r>
      <w:r w:rsidRPr="005C68A0">
        <w:rPr>
          <w:rFonts w:eastAsia="Times New Roman" w:cstheme="minorHAnsi"/>
        </w:rPr>
        <w:t>: Regular submission of financial reports to the FSRA and undergoing periodic audits by accredited auditors are mandatory for VASPs.</w:t>
      </w:r>
    </w:p>
    <w:p w14:paraId="63AE2663" w14:textId="77777777" w:rsidR="005C68A0" w:rsidRPr="005C68A0" w:rsidRDefault="005C68A0" w:rsidP="006E6457">
      <w:pPr>
        <w:spacing w:after="0" w:line="240" w:lineRule="auto"/>
        <w:ind w:left="360"/>
        <w:jc w:val="both"/>
        <w:rPr>
          <w:rFonts w:eastAsia="Times New Roman" w:cstheme="minorHAnsi"/>
        </w:rPr>
      </w:pPr>
    </w:p>
    <w:p w14:paraId="2B039615" w14:textId="77777777" w:rsidR="005C68A0" w:rsidRPr="005C68A0" w:rsidRDefault="005C68A0" w:rsidP="006E6457">
      <w:pPr>
        <w:numPr>
          <w:ilvl w:val="0"/>
          <w:numId w:val="154"/>
        </w:numPr>
        <w:spacing w:after="0" w:line="240" w:lineRule="auto"/>
        <w:ind w:left="1080"/>
        <w:jc w:val="both"/>
        <w:rPr>
          <w:rFonts w:eastAsia="Times New Roman" w:cstheme="minorHAnsi"/>
        </w:rPr>
      </w:pPr>
      <w:r w:rsidRPr="005C68A0">
        <w:rPr>
          <w:rFonts w:eastAsia="Times New Roman" w:cstheme="minorHAnsi"/>
          <w:u w:val="single"/>
        </w:rPr>
        <w:t>Consumer Protection</w:t>
      </w:r>
      <w:r w:rsidRPr="005C68A0">
        <w:rPr>
          <w:rFonts w:eastAsia="Times New Roman" w:cstheme="minorHAnsi"/>
        </w:rPr>
        <w:t>: VASPs are required to implement internal procedures for handling consumer complaints and grievances in a satisfactory manner.</w:t>
      </w:r>
    </w:p>
    <w:p w14:paraId="43A16F9B" w14:textId="77777777" w:rsidR="005C68A0" w:rsidRPr="005C68A0" w:rsidRDefault="005C68A0" w:rsidP="006E6457">
      <w:pPr>
        <w:spacing w:after="0" w:line="240" w:lineRule="auto"/>
        <w:ind w:left="360"/>
        <w:jc w:val="both"/>
        <w:rPr>
          <w:rFonts w:eastAsia="Times New Roman" w:cstheme="minorHAnsi"/>
        </w:rPr>
      </w:pPr>
    </w:p>
    <w:p w14:paraId="23436E31" w14:textId="77777777" w:rsidR="005C68A0" w:rsidRPr="005C68A0" w:rsidRDefault="005C68A0" w:rsidP="006E6457">
      <w:pPr>
        <w:numPr>
          <w:ilvl w:val="0"/>
          <w:numId w:val="154"/>
        </w:numPr>
        <w:spacing w:after="0" w:line="240" w:lineRule="auto"/>
        <w:ind w:left="1080"/>
        <w:jc w:val="both"/>
        <w:rPr>
          <w:rFonts w:eastAsia="Times New Roman" w:cstheme="minorHAnsi"/>
        </w:rPr>
      </w:pPr>
      <w:r w:rsidRPr="005C68A0">
        <w:rPr>
          <w:rFonts w:eastAsia="Times New Roman" w:cstheme="minorHAnsi"/>
          <w:u w:val="single"/>
        </w:rPr>
        <w:t>Record-Keeping</w:t>
      </w:r>
      <w:r w:rsidRPr="005C68A0">
        <w:rPr>
          <w:rFonts w:eastAsia="Times New Roman" w:cstheme="minorHAnsi"/>
        </w:rPr>
        <w:t>: Accurate and comprehensive record-keeping of activities, transactions, and customer information is a key requirement for VASPs.</w:t>
      </w:r>
    </w:p>
    <w:p w14:paraId="6CE72251" w14:textId="77777777" w:rsidR="005C68A0" w:rsidRPr="005C68A0" w:rsidRDefault="005C68A0" w:rsidP="006E6457">
      <w:pPr>
        <w:spacing w:after="0" w:line="240" w:lineRule="auto"/>
        <w:ind w:left="360"/>
        <w:jc w:val="both"/>
        <w:rPr>
          <w:rFonts w:eastAsia="Times New Roman" w:cstheme="minorHAnsi"/>
        </w:rPr>
      </w:pPr>
    </w:p>
    <w:p w14:paraId="7A1C796E" w14:textId="77777777" w:rsidR="005C68A0" w:rsidRPr="005C68A0" w:rsidRDefault="005C68A0" w:rsidP="006E6457">
      <w:pPr>
        <w:numPr>
          <w:ilvl w:val="0"/>
          <w:numId w:val="154"/>
        </w:numPr>
        <w:spacing w:after="0" w:line="240" w:lineRule="auto"/>
        <w:ind w:left="1080"/>
        <w:jc w:val="both"/>
        <w:rPr>
          <w:rFonts w:eastAsia="Times New Roman" w:cstheme="minorHAnsi"/>
        </w:rPr>
      </w:pPr>
      <w:r w:rsidRPr="005C68A0">
        <w:rPr>
          <w:rFonts w:eastAsia="Times New Roman" w:cstheme="minorHAnsi"/>
          <w:u w:val="single"/>
        </w:rPr>
        <w:t>Compliance Monitoring</w:t>
      </w:r>
      <w:r w:rsidRPr="005C68A0">
        <w:rPr>
          <w:rFonts w:eastAsia="Times New Roman" w:cstheme="minorHAnsi"/>
        </w:rPr>
        <w:t>: The FSRA may conduct routine compliance monitoring of VASPs to ensure ongoing adherence to regulatory requirements.</w:t>
      </w:r>
    </w:p>
    <w:p w14:paraId="316B627B" w14:textId="77777777" w:rsidR="005C68A0" w:rsidRPr="005C68A0" w:rsidRDefault="005C68A0" w:rsidP="006E6457">
      <w:pPr>
        <w:spacing w:after="0" w:line="240" w:lineRule="auto"/>
        <w:ind w:left="360"/>
        <w:jc w:val="both"/>
        <w:rPr>
          <w:rFonts w:eastAsia="Times New Roman" w:cstheme="minorHAnsi"/>
        </w:rPr>
      </w:pPr>
    </w:p>
    <w:p w14:paraId="7FADC359" w14:textId="77777777" w:rsidR="005C68A0" w:rsidRDefault="005C68A0" w:rsidP="006E6457">
      <w:pPr>
        <w:numPr>
          <w:ilvl w:val="0"/>
          <w:numId w:val="154"/>
        </w:numPr>
        <w:spacing w:after="0" w:line="240" w:lineRule="auto"/>
        <w:ind w:left="1080"/>
        <w:jc w:val="both"/>
        <w:rPr>
          <w:rFonts w:eastAsia="Times New Roman" w:cstheme="minorHAnsi"/>
        </w:rPr>
      </w:pPr>
      <w:r w:rsidRPr="005C68A0">
        <w:rPr>
          <w:rFonts w:eastAsia="Times New Roman" w:cstheme="minorHAnsi"/>
          <w:u w:val="single"/>
        </w:rPr>
        <w:t>Notification and Reporting</w:t>
      </w:r>
      <w:r w:rsidRPr="005C68A0">
        <w:rPr>
          <w:rFonts w:eastAsia="Times New Roman" w:cstheme="minorHAnsi"/>
        </w:rPr>
        <w:t>: VASPs must promptly notify the FSRA of any material changes to their business plan, ownership, or other relevant information. Reporting suspicious transactions or activities and cooperating with regulatory investigations is essential.</w:t>
      </w:r>
    </w:p>
    <w:p w14:paraId="387AE337" w14:textId="77777777" w:rsidR="005C68A0" w:rsidRPr="005C68A0" w:rsidRDefault="005C68A0" w:rsidP="006E6457">
      <w:pPr>
        <w:spacing w:after="0" w:line="240" w:lineRule="auto"/>
        <w:jc w:val="both"/>
        <w:rPr>
          <w:rFonts w:eastAsia="Times New Roman" w:cstheme="minorHAnsi"/>
        </w:rPr>
      </w:pPr>
    </w:p>
    <w:p w14:paraId="04DCF54D" w14:textId="482C3627" w:rsidR="000971FA" w:rsidRPr="0028403B" w:rsidRDefault="005C68A0" w:rsidP="006E6457">
      <w:pPr>
        <w:spacing w:after="0" w:line="240" w:lineRule="auto"/>
        <w:ind w:left="360"/>
        <w:jc w:val="both"/>
        <w:rPr>
          <w:rFonts w:eastAsia="Times New Roman" w:cstheme="minorHAnsi"/>
          <w:lang w:val="en-SG"/>
        </w:rPr>
      </w:pPr>
      <w:r w:rsidRPr="005C68A0">
        <w:rPr>
          <w:rFonts w:eastAsia="Times New Roman" w:cstheme="minorHAnsi"/>
        </w:rPr>
        <w:t>It is important to note that these requirements are subject to potential changes and may vary based on the specific activities and business model of each VASP.</w:t>
      </w:r>
    </w:p>
    <w:p w14:paraId="115799D1" w14:textId="52763015" w:rsidR="00741B68" w:rsidRPr="00644B77" w:rsidRDefault="00741B68" w:rsidP="006E6457">
      <w:pPr>
        <w:spacing w:after="0" w:line="240" w:lineRule="auto"/>
        <w:jc w:val="both"/>
        <w:rPr>
          <w:rFonts w:eastAsia="Times New Roman" w:cstheme="minorHAnsi"/>
          <w:lang w:val="en-SG"/>
        </w:rPr>
      </w:pPr>
    </w:p>
    <w:p w14:paraId="22DDE9A1" w14:textId="636FF3E3" w:rsidR="00A06A6F" w:rsidRPr="00644B77" w:rsidRDefault="009E6883" w:rsidP="006E6457">
      <w:pPr>
        <w:spacing w:after="0" w:line="240" w:lineRule="auto"/>
        <w:ind w:left="357"/>
        <w:jc w:val="both"/>
        <w:rPr>
          <w:rFonts w:eastAsia="Times New Roman" w:cstheme="minorHAnsi"/>
          <w:b/>
          <w:bCs/>
          <w:u w:val="single"/>
          <w:lang w:val="en-SG"/>
        </w:rPr>
      </w:pPr>
      <w:r w:rsidRPr="00644B77">
        <w:rPr>
          <w:rFonts w:eastAsia="Times New Roman" w:cstheme="minorHAnsi"/>
          <w:b/>
          <w:bCs/>
          <w:u w:val="single"/>
          <w:lang w:val="en-SG"/>
        </w:rPr>
        <w:t xml:space="preserve">What are the main restrictions on VASPs </w:t>
      </w:r>
      <w:r w:rsidR="00DD2CD2">
        <w:rPr>
          <w:rFonts w:eastAsia="Times New Roman" w:cstheme="minorHAnsi"/>
          <w:b/>
          <w:bCs/>
          <w:u w:val="single"/>
          <w:lang w:val="en-SG"/>
        </w:rPr>
        <w:t>in Abu Dhabi</w:t>
      </w:r>
      <w:r w:rsidRPr="00644B77">
        <w:rPr>
          <w:rFonts w:eastAsia="Times New Roman" w:cstheme="minorHAnsi"/>
          <w:b/>
          <w:bCs/>
          <w:u w:val="single"/>
          <w:lang w:val="en-SG"/>
        </w:rPr>
        <w:t>?</w:t>
      </w:r>
    </w:p>
    <w:p w14:paraId="7B6A6A4C" w14:textId="77777777" w:rsidR="00A06A6F" w:rsidRPr="00644B77" w:rsidRDefault="00A06A6F" w:rsidP="006E6457">
      <w:pPr>
        <w:spacing w:after="0" w:line="240" w:lineRule="auto"/>
        <w:ind w:left="357"/>
        <w:jc w:val="both"/>
        <w:rPr>
          <w:rFonts w:eastAsia="Times New Roman" w:cstheme="minorHAnsi"/>
          <w:b/>
          <w:bCs/>
          <w:u w:val="single"/>
          <w:lang w:val="en-SG"/>
        </w:rPr>
      </w:pPr>
    </w:p>
    <w:p w14:paraId="030083C9" w14:textId="77777777" w:rsidR="00782D43" w:rsidRDefault="00782D43" w:rsidP="006E6457">
      <w:pPr>
        <w:spacing w:after="0" w:line="240" w:lineRule="auto"/>
        <w:ind w:left="357"/>
        <w:jc w:val="both"/>
        <w:rPr>
          <w:rFonts w:eastAsia="Times New Roman" w:cstheme="minorHAnsi"/>
        </w:rPr>
      </w:pPr>
      <w:r w:rsidRPr="00782D43">
        <w:rPr>
          <w:rFonts w:eastAsia="Times New Roman" w:cstheme="minorHAnsi"/>
        </w:rPr>
        <w:t>The main restrictions on virtual asset providers regulated in Abu Dhabi include:</w:t>
      </w:r>
    </w:p>
    <w:p w14:paraId="61E525CB" w14:textId="77777777" w:rsidR="00782D43" w:rsidRPr="00782D43" w:rsidRDefault="00782D43" w:rsidP="006E6457">
      <w:pPr>
        <w:spacing w:after="0" w:line="240" w:lineRule="auto"/>
        <w:ind w:left="357"/>
        <w:jc w:val="both"/>
        <w:rPr>
          <w:rFonts w:eastAsia="Times New Roman" w:cstheme="minorHAnsi"/>
        </w:rPr>
      </w:pPr>
    </w:p>
    <w:p w14:paraId="45CC7B2E" w14:textId="77777777" w:rsidR="00782D43" w:rsidRPr="00782D43" w:rsidRDefault="00782D43" w:rsidP="006E6457">
      <w:pPr>
        <w:numPr>
          <w:ilvl w:val="0"/>
          <w:numId w:val="155"/>
        </w:numPr>
        <w:spacing w:after="0" w:line="240" w:lineRule="auto"/>
        <w:ind w:left="1077"/>
        <w:jc w:val="both"/>
        <w:rPr>
          <w:rFonts w:eastAsia="Times New Roman" w:cstheme="minorHAnsi"/>
        </w:rPr>
      </w:pPr>
      <w:r w:rsidRPr="00782D43">
        <w:rPr>
          <w:rFonts w:eastAsia="Times New Roman" w:cstheme="minorHAnsi"/>
        </w:rPr>
        <w:t xml:space="preserve">VASPs operating in Abu Dhabi must implement measures to </w:t>
      </w:r>
      <w:proofErr w:type="gramStart"/>
      <w:r w:rsidRPr="00782D43">
        <w:rPr>
          <w:rFonts w:eastAsia="Times New Roman" w:cstheme="minorHAnsi"/>
        </w:rPr>
        <w:t>comply</w:t>
      </w:r>
      <w:proofErr w:type="gramEnd"/>
      <w:r w:rsidRPr="00782D43">
        <w:rPr>
          <w:rFonts w:eastAsia="Times New Roman" w:cstheme="minorHAnsi"/>
        </w:rPr>
        <w:t xml:space="preserve"> AML/CFT laws. This includes thorough customer identification, monitoring, and reporting of suspicious transactions.</w:t>
      </w:r>
    </w:p>
    <w:p w14:paraId="509E604A" w14:textId="77777777" w:rsidR="00782D43" w:rsidRPr="00782D43" w:rsidRDefault="00782D43" w:rsidP="006E6457">
      <w:pPr>
        <w:spacing w:after="0" w:line="240" w:lineRule="auto"/>
        <w:ind w:left="357"/>
        <w:jc w:val="both"/>
        <w:rPr>
          <w:rFonts w:eastAsia="Times New Roman" w:cstheme="minorHAnsi"/>
        </w:rPr>
      </w:pPr>
    </w:p>
    <w:p w14:paraId="66E0D9C9" w14:textId="77777777" w:rsidR="00782D43" w:rsidRPr="00782D43" w:rsidRDefault="00782D43" w:rsidP="006E6457">
      <w:pPr>
        <w:numPr>
          <w:ilvl w:val="0"/>
          <w:numId w:val="155"/>
        </w:numPr>
        <w:spacing w:after="0" w:line="240" w:lineRule="auto"/>
        <w:ind w:left="1077"/>
        <w:jc w:val="both"/>
        <w:rPr>
          <w:rFonts w:eastAsia="Times New Roman" w:cstheme="minorHAnsi"/>
        </w:rPr>
      </w:pPr>
      <w:r w:rsidRPr="00782D43">
        <w:rPr>
          <w:rFonts w:eastAsia="Times New Roman" w:cstheme="minorHAnsi"/>
        </w:rPr>
        <w:t>Accepting deposits from markets in the United Arab Emirates (</w:t>
      </w:r>
      <w:r w:rsidRPr="00782D43">
        <w:rPr>
          <w:rFonts w:eastAsia="Times New Roman" w:cstheme="minorHAnsi"/>
          <w:b/>
          <w:bCs/>
        </w:rPr>
        <w:t>U.A.E</w:t>
      </w:r>
      <w:r w:rsidRPr="00782D43">
        <w:rPr>
          <w:rFonts w:eastAsia="Times New Roman" w:cstheme="minorHAnsi"/>
        </w:rPr>
        <w:t>)</w:t>
      </w:r>
      <w:r w:rsidRPr="00782D43">
        <w:rPr>
          <w:rFonts w:eastAsia="Times New Roman" w:cstheme="minorHAnsi"/>
          <w:b/>
          <w:bCs/>
        </w:rPr>
        <w:t xml:space="preserve"> </w:t>
      </w:r>
      <w:r w:rsidRPr="00782D43">
        <w:rPr>
          <w:rFonts w:eastAsia="Times New Roman" w:cstheme="minorHAnsi"/>
        </w:rPr>
        <w:t>is strictly prohibited for VASPs unless they have obtained the necessary authorisation.</w:t>
      </w:r>
    </w:p>
    <w:p w14:paraId="5B0FEB3B" w14:textId="77777777" w:rsidR="00782D43" w:rsidRPr="00782D43" w:rsidRDefault="00782D43" w:rsidP="006E6457">
      <w:pPr>
        <w:spacing w:after="0" w:line="240" w:lineRule="auto"/>
        <w:ind w:left="357"/>
        <w:jc w:val="both"/>
        <w:rPr>
          <w:rFonts w:eastAsia="Times New Roman" w:cstheme="minorHAnsi"/>
        </w:rPr>
      </w:pPr>
    </w:p>
    <w:p w14:paraId="0CC00FE7" w14:textId="77777777" w:rsidR="00782D43" w:rsidRPr="00782D43" w:rsidRDefault="00782D43" w:rsidP="006E6457">
      <w:pPr>
        <w:numPr>
          <w:ilvl w:val="0"/>
          <w:numId w:val="155"/>
        </w:numPr>
        <w:spacing w:after="0" w:line="240" w:lineRule="auto"/>
        <w:ind w:left="1077"/>
        <w:jc w:val="both"/>
        <w:rPr>
          <w:rFonts w:eastAsia="Times New Roman" w:cstheme="minorHAnsi"/>
        </w:rPr>
      </w:pPr>
      <w:r w:rsidRPr="00782D43">
        <w:rPr>
          <w:rFonts w:eastAsia="Times New Roman" w:cstheme="minorHAnsi"/>
        </w:rPr>
        <w:t>VASPs are not allowed to conduct foreign exchange transactions involving the U.A.E Dirham on behalf of clients unless explicitly authorised by the regulator.</w:t>
      </w:r>
    </w:p>
    <w:p w14:paraId="3F2EBFC0" w14:textId="77777777" w:rsidR="00782D43" w:rsidRPr="00782D43" w:rsidRDefault="00782D43" w:rsidP="006E6457">
      <w:pPr>
        <w:spacing w:after="0" w:line="240" w:lineRule="auto"/>
        <w:ind w:left="357"/>
        <w:jc w:val="both"/>
        <w:rPr>
          <w:rFonts w:eastAsia="Times New Roman" w:cstheme="minorHAnsi"/>
        </w:rPr>
      </w:pPr>
    </w:p>
    <w:p w14:paraId="7F7EF061" w14:textId="77777777" w:rsidR="00782D43" w:rsidRPr="00782D43" w:rsidRDefault="00782D43" w:rsidP="006E6457">
      <w:pPr>
        <w:numPr>
          <w:ilvl w:val="0"/>
          <w:numId w:val="155"/>
        </w:numPr>
        <w:spacing w:after="0" w:line="240" w:lineRule="auto"/>
        <w:ind w:left="1077"/>
        <w:jc w:val="both"/>
        <w:rPr>
          <w:rFonts w:eastAsia="Times New Roman" w:cstheme="minorHAnsi"/>
        </w:rPr>
      </w:pPr>
      <w:r w:rsidRPr="00782D43">
        <w:rPr>
          <w:rFonts w:eastAsia="Times New Roman" w:cstheme="minorHAnsi"/>
        </w:rPr>
        <w:t>Compliance with Market Abuse Regulations is mandatory for VASPs, preventing engagement in activities such as insider dealing, market manipulation, or spreading false information.</w:t>
      </w:r>
    </w:p>
    <w:p w14:paraId="43D8ABF4" w14:textId="77777777" w:rsidR="00782D43" w:rsidRPr="00782D43" w:rsidRDefault="00782D43" w:rsidP="006E6457">
      <w:pPr>
        <w:spacing w:after="0" w:line="240" w:lineRule="auto"/>
        <w:ind w:left="357"/>
        <w:jc w:val="both"/>
        <w:rPr>
          <w:rFonts w:eastAsia="Times New Roman" w:cstheme="minorHAnsi"/>
        </w:rPr>
      </w:pPr>
    </w:p>
    <w:p w14:paraId="6A498D13" w14:textId="77777777" w:rsidR="00782D43" w:rsidRPr="00782D43" w:rsidRDefault="00782D43" w:rsidP="006E6457">
      <w:pPr>
        <w:numPr>
          <w:ilvl w:val="0"/>
          <w:numId w:val="155"/>
        </w:numPr>
        <w:spacing w:after="0" w:line="240" w:lineRule="auto"/>
        <w:ind w:left="1077"/>
        <w:jc w:val="both"/>
        <w:rPr>
          <w:rFonts w:eastAsia="Times New Roman" w:cstheme="minorHAnsi"/>
        </w:rPr>
      </w:pPr>
      <w:r w:rsidRPr="00782D43">
        <w:rPr>
          <w:rFonts w:eastAsia="Times New Roman" w:cstheme="minorHAnsi"/>
        </w:rPr>
        <w:t>Engaging in regulated activities without proper authorisation from the Financial Services Regulatory Authority is illegal for VASPs.</w:t>
      </w:r>
    </w:p>
    <w:p w14:paraId="22B5FF26" w14:textId="77777777" w:rsidR="00782D43" w:rsidRPr="00782D43" w:rsidRDefault="00782D43" w:rsidP="006E6457">
      <w:pPr>
        <w:spacing w:after="0" w:line="240" w:lineRule="auto"/>
        <w:ind w:left="357"/>
        <w:jc w:val="both"/>
        <w:rPr>
          <w:rFonts w:eastAsia="Times New Roman" w:cstheme="minorHAnsi"/>
        </w:rPr>
      </w:pPr>
    </w:p>
    <w:p w14:paraId="3B0A2833" w14:textId="77777777" w:rsidR="00782D43" w:rsidRPr="00782D43" w:rsidRDefault="00782D43" w:rsidP="006E6457">
      <w:pPr>
        <w:numPr>
          <w:ilvl w:val="0"/>
          <w:numId w:val="155"/>
        </w:numPr>
        <w:spacing w:after="0" w:line="240" w:lineRule="auto"/>
        <w:ind w:left="1077"/>
        <w:jc w:val="both"/>
        <w:rPr>
          <w:rFonts w:eastAsia="Times New Roman" w:cstheme="minorHAnsi"/>
        </w:rPr>
      </w:pPr>
      <w:r w:rsidRPr="00782D43">
        <w:rPr>
          <w:rFonts w:eastAsia="Times New Roman" w:cstheme="minorHAnsi"/>
        </w:rPr>
        <w:t>Using intragroup transactions to circumvent margining requirements set by the regulator is strictly prohibited.</w:t>
      </w:r>
    </w:p>
    <w:p w14:paraId="0FB50CBD" w14:textId="77777777" w:rsidR="00782D43" w:rsidRPr="00782D43" w:rsidRDefault="00782D43" w:rsidP="006E6457">
      <w:pPr>
        <w:spacing w:after="0" w:line="240" w:lineRule="auto"/>
        <w:ind w:left="357"/>
        <w:jc w:val="both"/>
        <w:rPr>
          <w:rFonts w:eastAsia="Times New Roman" w:cstheme="minorHAnsi"/>
        </w:rPr>
      </w:pPr>
    </w:p>
    <w:p w14:paraId="2FB66AD4" w14:textId="77777777" w:rsidR="00782D43" w:rsidRPr="00782D43" w:rsidRDefault="00782D43" w:rsidP="006E6457">
      <w:pPr>
        <w:numPr>
          <w:ilvl w:val="0"/>
          <w:numId w:val="155"/>
        </w:numPr>
        <w:spacing w:after="0" w:line="240" w:lineRule="auto"/>
        <w:ind w:left="1077"/>
        <w:jc w:val="both"/>
        <w:rPr>
          <w:rFonts w:eastAsia="Times New Roman" w:cstheme="minorHAnsi"/>
        </w:rPr>
      </w:pPr>
      <w:r w:rsidRPr="00782D43">
        <w:rPr>
          <w:rFonts w:eastAsia="Times New Roman" w:cstheme="minorHAnsi"/>
        </w:rPr>
        <w:lastRenderedPageBreak/>
        <w:t>VASPs must charge reasonable and non-excessive fees when conducting regulated activities, avoiding the prohibition on charging excessive fees or commissions.</w:t>
      </w:r>
    </w:p>
    <w:p w14:paraId="042D1B64" w14:textId="77777777" w:rsidR="00782D43" w:rsidRPr="00782D43" w:rsidRDefault="00782D43" w:rsidP="006E6457">
      <w:pPr>
        <w:spacing w:after="0" w:line="240" w:lineRule="auto"/>
        <w:ind w:left="357"/>
        <w:jc w:val="both"/>
        <w:rPr>
          <w:rFonts w:eastAsia="Times New Roman" w:cstheme="minorHAnsi"/>
        </w:rPr>
      </w:pPr>
    </w:p>
    <w:p w14:paraId="51806CAC" w14:textId="77777777" w:rsidR="00782D43" w:rsidRPr="00782D43" w:rsidRDefault="00782D43" w:rsidP="006E6457">
      <w:pPr>
        <w:numPr>
          <w:ilvl w:val="0"/>
          <w:numId w:val="155"/>
        </w:numPr>
        <w:spacing w:after="0" w:line="240" w:lineRule="auto"/>
        <w:ind w:left="1077"/>
        <w:jc w:val="both"/>
        <w:rPr>
          <w:rFonts w:eastAsia="Times New Roman" w:cstheme="minorHAnsi"/>
        </w:rPr>
      </w:pPr>
      <w:r w:rsidRPr="00782D43">
        <w:rPr>
          <w:rFonts w:eastAsia="Times New Roman" w:cstheme="minorHAnsi"/>
        </w:rPr>
        <w:t>Engaging in unfair or misleading practices, such as providing false information to clients, is strictly prohibited for VASPs.</w:t>
      </w:r>
    </w:p>
    <w:p w14:paraId="46D5D5CE" w14:textId="77777777" w:rsidR="00782D43" w:rsidRPr="00782D43" w:rsidRDefault="00782D43" w:rsidP="006E6457">
      <w:pPr>
        <w:spacing w:after="0" w:line="240" w:lineRule="auto"/>
        <w:ind w:left="357"/>
        <w:jc w:val="both"/>
        <w:rPr>
          <w:rFonts w:eastAsia="Times New Roman" w:cstheme="minorHAnsi"/>
        </w:rPr>
      </w:pPr>
    </w:p>
    <w:p w14:paraId="02FAE6F1" w14:textId="3B3206FB" w:rsidR="00782D43" w:rsidRDefault="00782D43" w:rsidP="006E6457">
      <w:pPr>
        <w:numPr>
          <w:ilvl w:val="0"/>
          <w:numId w:val="155"/>
        </w:numPr>
        <w:spacing w:after="0" w:line="240" w:lineRule="auto"/>
        <w:ind w:left="1077"/>
        <w:jc w:val="both"/>
        <w:rPr>
          <w:rFonts w:eastAsia="Times New Roman" w:cstheme="minorHAnsi"/>
        </w:rPr>
      </w:pPr>
      <w:r w:rsidRPr="00782D43">
        <w:rPr>
          <w:rFonts w:eastAsia="Times New Roman" w:cstheme="minorHAnsi"/>
        </w:rPr>
        <w:t>Compliance with all relevant laws and regulations, including data protection and cybersecurity requirements, is mandatory for VASPs.</w:t>
      </w:r>
    </w:p>
    <w:p w14:paraId="5D03C5E0" w14:textId="77777777" w:rsidR="00782D43" w:rsidRPr="00782D43" w:rsidRDefault="00782D43" w:rsidP="006E6457">
      <w:pPr>
        <w:spacing w:after="0" w:line="240" w:lineRule="auto"/>
        <w:jc w:val="both"/>
        <w:rPr>
          <w:rFonts w:eastAsia="Times New Roman" w:cstheme="minorHAnsi"/>
        </w:rPr>
      </w:pPr>
    </w:p>
    <w:p w14:paraId="1AB8A4FB" w14:textId="6FC889B8" w:rsidR="00E538DF" w:rsidRPr="00782D43" w:rsidRDefault="00782D43" w:rsidP="006E6457">
      <w:pPr>
        <w:numPr>
          <w:ilvl w:val="0"/>
          <w:numId w:val="155"/>
        </w:numPr>
        <w:spacing w:after="0" w:line="240" w:lineRule="auto"/>
        <w:ind w:left="1077"/>
        <w:jc w:val="both"/>
        <w:rPr>
          <w:rFonts w:eastAsia="Times New Roman" w:cstheme="minorHAnsi"/>
        </w:rPr>
      </w:pPr>
      <w:r w:rsidRPr="00782D43">
        <w:rPr>
          <w:rFonts w:eastAsia="Times New Roman" w:cstheme="minorHAnsi"/>
        </w:rPr>
        <w:t>Marketing services to retail investors without the appropriate authorisation from the FSRA is restricted for VASPs.</w:t>
      </w:r>
    </w:p>
    <w:p w14:paraId="1AD966B0" w14:textId="77777777" w:rsidR="00B36B1B" w:rsidRPr="00644B77" w:rsidRDefault="00B36B1B" w:rsidP="006E6457">
      <w:pPr>
        <w:spacing w:after="0" w:line="240" w:lineRule="auto"/>
        <w:ind w:left="357"/>
        <w:jc w:val="both"/>
        <w:rPr>
          <w:rFonts w:eastAsia="Times New Roman" w:cstheme="minorHAnsi"/>
        </w:rPr>
      </w:pPr>
    </w:p>
    <w:p w14:paraId="7F0185F2" w14:textId="2336F847" w:rsidR="00B62FFD" w:rsidRPr="00644B77" w:rsidRDefault="009E6883" w:rsidP="006E6457">
      <w:pPr>
        <w:spacing w:after="0" w:line="240" w:lineRule="auto"/>
        <w:ind w:left="357"/>
        <w:jc w:val="both"/>
        <w:rPr>
          <w:rFonts w:eastAsia="Times New Roman" w:cstheme="minorHAnsi"/>
          <w:b/>
          <w:bCs/>
          <w:u w:val="single"/>
          <w:lang w:val="en-SG"/>
        </w:rPr>
      </w:pPr>
      <w:r w:rsidRPr="00644B77">
        <w:rPr>
          <w:rFonts w:eastAsia="Times New Roman" w:cstheme="minorHAnsi"/>
          <w:b/>
          <w:bCs/>
          <w:u w:val="single"/>
          <w:lang w:val="en-SG"/>
        </w:rPr>
        <w:t xml:space="preserve">What </w:t>
      </w:r>
      <w:proofErr w:type="gramStart"/>
      <w:r w:rsidRPr="00644B77">
        <w:rPr>
          <w:rFonts w:eastAsia="Times New Roman" w:cstheme="minorHAnsi"/>
          <w:b/>
          <w:bCs/>
          <w:u w:val="single"/>
          <w:lang w:val="en-SG"/>
        </w:rPr>
        <w:t>are</w:t>
      </w:r>
      <w:proofErr w:type="gramEnd"/>
      <w:r w:rsidRPr="00644B77">
        <w:rPr>
          <w:rFonts w:eastAsia="Times New Roman" w:cstheme="minorHAnsi"/>
          <w:b/>
          <w:bCs/>
          <w:u w:val="single"/>
          <w:lang w:val="en-SG"/>
        </w:rPr>
        <w:t xml:space="preserve"> the main information that VASPs have to make available to its customers?</w:t>
      </w:r>
    </w:p>
    <w:p w14:paraId="56D68E01" w14:textId="77777777" w:rsidR="00741B68" w:rsidRPr="00644B77" w:rsidRDefault="00741B68" w:rsidP="006E6457">
      <w:pPr>
        <w:spacing w:after="0" w:line="240" w:lineRule="auto"/>
        <w:ind w:left="357"/>
        <w:jc w:val="both"/>
        <w:rPr>
          <w:rFonts w:eastAsia="Times New Roman" w:cstheme="minorHAnsi"/>
          <w:b/>
          <w:bCs/>
          <w:lang w:val="en-SG"/>
        </w:rPr>
      </w:pPr>
    </w:p>
    <w:p w14:paraId="1C79B171" w14:textId="77777777" w:rsidR="002F5E3F" w:rsidRDefault="002F5E3F" w:rsidP="006E6457">
      <w:pPr>
        <w:spacing w:after="0" w:line="240" w:lineRule="auto"/>
        <w:ind w:left="357"/>
        <w:jc w:val="both"/>
        <w:rPr>
          <w:rFonts w:eastAsia="Times New Roman" w:cstheme="minorHAnsi"/>
        </w:rPr>
      </w:pPr>
      <w:r w:rsidRPr="002F5E3F">
        <w:rPr>
          <w:rFonts w:eastAsia="Times New Roman" w:cstheme="minorHAnsi"/>
        </w:rPr>
        <w:t>Regulated virtual asset trading platforms are required to make available to their customers information on:</w:t>
      </w:r>
    </w:p>
    <w:p w14:paraId="091D17C5" w14:textId="77777777" w:rsidR="002F5E3F" w:rsidRPr="002F5E3F" w:rsidRDefault="002F5E3F" w:rsidP="006E6457">
      <w:pPr>
        <w:spacing w:after="0" w:line="240" w:lineRule="auto"/>
        <w:ind w:left="357"/>
        <w:jc w:val="both"/>
        <w:rPr>
          <w:rFonts w:eastAsia="Times New Roman" w:cstheme="minorHAnsi"/>
        </w:rPr>
      </w:pPr>
    </w:p>
    <w:p w14:paraId="039909D5" w14:textId="77777777" w:rsidR="002F5E3F" w:rsidRDefault="002F5E3F" w:rsidP="006E6457">
      <w:pPr>
        <w:numPr>
          <w:ilvl w:val="0"/>
          <w:numId w:val="156"/>
        </w:numPr>
        <w:spacing w:after="0" w:line="240" w:lineRule="auto"/>
        <w:jc w:val="both"/>
        <w:rPr>
          <w:rFonts w:eastAsia="Times New Roman" w:cstheme="minorHAnsi"/>
        </w:rPr>
      </w:pPr>
      <w:r w:rsidRPr="002F5E3F">
        <w:rPr>
          <w:rFonts w:eastAsia="Times New Roman" w:cstheme="minorHAnsi"/>
        </w:rPr>
        <w:t xml:space="preserve">The risks associated with virtual assets and their products and </w:t>
      </w:r>
      <w:proofErr w:type="gramStart"/>
      <w:r w:rsidRPr="002F5E3F">
        <w:rPr>
          <w:rFonts w:eastAsia="Times New Roman" w:cstheme="minorHAnsi"/>
        </w:rPr>
        <w:t>services;</w:t>
      </w:r>
      <w:proofErr w:type="gramEnd"/>
    </w:p>
    <w:p w14:paraId="0B1678A2" w14:textId="77777777" w:rsidR="00FE0DB1" w:rsidRPr="002F5E3F" w:rsidRDefault="00FE0DB1" w:rsidP="00FE0DB1">
      <w:pPr>
        <w:spacing w:after="0" w:line="240" w:lineRule="auto"/>
        <w:ind w:left="717"/>
        <w:jc w:val="both"/>
        <w:rPr>
          <w:rFonts w:eastAsia="Times New Roman" w:cstheme="minorHAnsi"/>
        </w:rPr>
      </w:pPr>
    </w:p>
    <w:p w14:paraId="211AD253" w14:textId="77777777" w:rsidR="002F5E3F" w:rsidRDefault="002F5E3F" w:rsidP="006E6457">
      <w:pPr>
        <w:numPr>
          <w:ilvl w:val="0"/>
          <w:numId w:val="156"/>
        </w:numPr>
        <w:spacing w:after="0" w:line="240" w:lineRule="auto"/>
        <w:jc w:val="both"/>
        <w:rPr>
          <w:rFonts w:eastAsia="Times New Roman" w:cstheme="minorHAnsi"/>
        </w:rPr>
      </w:pPr>
      <w:r w:rsidRPr="002F5E3F">
        <w:rPr>
          <w:rFonts w:eastAsia="Times New Roman" w:cstheme="minorHAnsi"/>
        </w:rPr>
        <w:t xml:space="preserve">the terms and conditions applicable to the products and services, including the fees and commissions associated with their </w:t>
      </w:r>
      <w:proofErr w:type="gramStart"/>
      <w:r w:rsidRPr="002F5E3F">
        <w:rPr>
          <w:rFonts w:eastAsia="Times New Roman" w:cstheme="minorHAnsi"/>
        </w:rPr>
        <w:t>use;</w:t>
      </w:r>
      <w:proofErr w:type="gramEnd"/>
    </w:p>
    <w:p w14:paraId="4AFCAE5D" w14:textId="77777777" w:rsidR="00FE0DB1" w:rsidRPr="002F5E3F" w:rsidRDefault="00FE0DB1" w:rsidP="00FE0DB1">
      <w:pPr>
        <w:spacing w:after="0" w:line="240" w:lineRule="auto"/>
        <w:jc w:val="both"/>
        <w:rPr>
          <w:rFonts w:eastAsia="Times New Roman" w:cstheme="minorHAnsi"/>
        </w:rPr>
      </w:pPr>
    </w:p>
    <w:p w14:paraId="1D03787F" w14:textId="77777777" w:rsidR="002F5E3F" w:rsidRDefault="002F5E3F" w:rsidP="006E6457">
      <w:pPr>
        <w:numPr>
          <w:ilvl w:val="0"/>
          <w:numId w:val="156"/>
        </w:numPr>
        <w:spacing w:after="0" w:line="240" w:lineRule="auto"/>
        <w:jc w:val="both"/>
        <w:rPr>
          <w:rFonts w:eastAsia="Times New Roman" w:cstheme="minorHAnsi"/>
        </w:rPr>
      </w:pPr>
      <w:proofErr w:type="gramStart"/>
      <w:r w:rsidRPr="002F5E3F">
        <w:rPr>
          <w:rFonts w:eastAsia="Times New Roman" w:cstheme="minorHAnsi"/>
        </w:rPr>
        <w:t>the methods</w:t>
      </w:r>
      <w:proofErr w:type="gramEnd"/>
      <w:r w:rsidRPr="002F5E3F">
        <w:rPr>
          <w:rFonts w:eastAsia="Times New Roman" w:cstheme="minorHAnsi"/>
        </w:rPr>
        <w:t xml:space="preserve"> used to calculate prices, including asset valuations, price feeds, and other relevant </w:t>
      </w:r>
      <w:proofErr w:type="gramStart"/>
      <w:r w:rsidRPr="002F5E3F">
        <w:rPr>
          <w:rFonts w:eastAsia="Times New Roman" w:cstheme="minorHAnsi"/>
        </w:rPr>
        <w:t>information;</w:t>
      </w:r>
      <w:proofErr w:type="gramEnd"/>
    </w:p>
    <w:p w14:paraId="6CF90460" w14:textId="77777777" w:rsidR="00FE0DB1" w:rsidRPr="002F5E3F" w:rsidRDefault="00FE0DB1" w:rsidP="00FE0DB1">
      <w:pPr>
        <w:spacing w:after="0" w:line="240" w:lineRule="auto"/>
        <w:jc w:val="both"/>
        <w:rPr>
          <w:rFonts w:eastAsia="Times New Roman" w:cstheme="minorHAnsi"/>
        </w:rPr>
      </w:pPr>
    </w:p>
    <w:p w14:paraId="29325869" w14:textId="77777777" w:rsidR="002F5E3F" w:rsidRDefault="002F5E3F" w:rsidP="006E6457">
      <w:pPr>
        <w:numPr>
          <w:ilvl w:val="0"/>
          <w:numId w:val="156"/>
        </w:numPr>
        <w:spacing w:after="0" w:line="240" w:lineRule="auto"/>
        <w:jc w:val="both"/>
        <w:rPr>
          <w:rFonts w:eastAsia="Times New Roman" w:cstheme="minorHAnsi"/>
        </w:rPr>
      </w:pPr>
      <w:r w:rsidRPr="002F5E3F">
        <w:rPr>
          <w:rFonts w:eastAsia="Times New Roman" w:cstheme="minorHAnsi"/>
        </w:rPr>
        <w:t xml:space="preserve">the rules governing the exchange, including trading procedures, settlement, and delivery systems, and any other relevant </w:t>
      </w:r>
      <w:proofErr w:type="gramStart"/>
      <w:r w:rsidRPr="002F5E3F">
        <w:rPr>
          <w:rFonts w:eastAsia="Times New Roman" w:cstheme="minorHAnsi"/>
        </w:rPr>
        <w:t>information;</w:t>
      </w:r>
      <w:proofErr w:type="gramEnd"/>
    </w:p>
    <w:p w14:paraId="41F678E7" w14:textId="77777777" w:rsidR="00FE0DB1" w:rsidRPr="002F5E3F" w:rsidRDefault="00FE0DB1" w:rsidP="00FE0DB1">
      <w:pPr>
        <w:spacing w:after="0" w:line="240" w:lineRule="auto"/>
        <w:jc w:val="both"/>
        <w:rPr>
          <w:rFonts w:eastAsia="Times New Roman" w:cstheme="minorHAnsi"/>
        </w:rPr>
      </w:pPr>
    </w:p>
    <w:p w14:paraId="0B76776F" w14:textId="77777777" w:rsidR="002F5E3F" w:rsidRDefault="002F5E3F" w:rsidP="006E6457">
      <w:pPr>
        <w:numPr>
          <w:ilvl w:val="0"/>
          <w:numId w:val="156"/>
        </w:numPr>
        <w:spacing w:after="0" w:line="240" w:lineRule="auto"/>
        <w:jc w:val="both"/>
        <w:rPr>
          <w:rFonts w:eastAsia="Times New Roman" w:cstheme="minorHAnsi"/>
        </w:rPr>
      </w:pPr>
      <w:r w:rsidRPr="002F5E3F">
        <w:rPr>
          <w:rFonts w:eastAsia="Times New Roman" w:cstheme="minorHAnsi"/>
        </w:rPr>
        <w:t xml:space="preserve">procedures for dealing with complaints and </w:t>
      </w:r>
      <w:proofErr w:type="gramStart"/>
      <w:r w:rsidRPr="002F5E3F">
        <w:rPr>
          <w:rFonts w:eastAsia="Times New Roman" w:cstheme="minorHAnsi"/>
        </w:rPr>
        <w:t>disputes;</w:t>
      </w:r>
      <w:proofErr w:type="gramEnd"/>
    </w:p>
    <w:p w14:paraId="16DF3FCB" w14:textId="77777777" w:rsidR="00FE0DB1" w:rsidRPr="002F5E3F" w:rsidRDefault="00FE0DB1" w:rsidP="00FE0DB1">
      <w:pPr>
        <w:spacing w:after="0" w:line="240" w:lineRule="auto"/>
        <w:jc w:val="both"/>
        <w:rPr>
          <w:rFonts w:eastAsia="Times New Roman" w:cstheme="minorHAnsi"/>
        </w:rPr>
      </w:pPr>
    </w:p>
    <w:p w14:paraId="5AD09525" w14:textId="77777777" w:rsidR="002F5E3F" w:rsidRDefault="002F5E3F" w:rsidP="006E6457">
      <w:pPr>
        <w:numPr>
          <w:ilvl w:val="0"/>
          <w:numId w:val="156"/>
        </w:numPr>
        <w:spacing w:after="0" w:line="240" w:lineRule="auto"/>
        <w:jc w:val="both"/>
        <w:rPr>
          <w:rFonts w:eastAsia="Times New Roman" w:cstheme="minorHAnsi"/>
        </w:rPr>
      </w:pPr>
      <w:r w:rsidRPr="002F5E3F">
        <w:rPr>
          <w:rFonts w:eastAsia="Times New Roman" w:cstheme="minorHAnsi"/>
        </w:rPr>
        <w:t>any material changes or developments in the platform and its products and services; and</w:t>
      </w:r>
    </w:p>
    <w:p w14:paraId="4F77C38C" w14:textId="77777777" w:rsidR="00FE0DB1" w:rsidRPr="002F5E3F" w:rsidRDefault="00FE0DB1" w:rsidP="00FE0DB1">
      <w:pPr>
        <w:spacing w:after="0" w:line="240" w:lineRule="auto"/>
        <w:jc w:val="both"/>
        <w:rPr>
          <w:rFonts w:eastAsia="Times New Roman" w:cstheme="minorHAnsi"/>
        </w:rPr>
      </w:pPr>
    </w:p>
    <w:p w14:paraId="0EF692A6" w14:textId="77777777" w:rsidR="002F5E3F" w:rsidRDefault="002F5E3F" w:rsidP="006E6457">
      <w:pPr>
        <w:numPr>
          <w:ilvl w:val="0"/>
          <w:numId w:val="156"/>
        </w:numPr>
        <w:spacing w:after="0" w:line="240" w:lineRule="auto"/>
        <w:jc w:val="both"/>
        <w:rPr>
          <w:rFonts w:eastAsia="Times New Roman" w:cstheme="minorHAnsi"/>
        </w:rPr>
      </w:pPr>
      <w:r w:rsidRPr="002F5E3F">
        <w:rPr>
          <w:rFonts w:eastAsia="Times New Roman" w:cstheme="minorHAnsi"/>
        </w:rPr>
        <w:t>relevant regulatory and compliance information, including AML/CFT laws and regulations, cybersecurity, and data protection requirements.</w:t>
      </w:r>
    </w:p>
    <w:p w14:paraId="0AAA04C8" w14:textId="77777777" w:rsidR="002F5E3F" w:rsidRPr="002F5E3F" w:rsidRDefault="002F5E3F" w:rsidP="006E6457">
      <w:pPr>
        <w:spacing w:after="0" w:line="240" w:lineRule="auto"/>
        <w:ind w:left="720"/>
        <w:jc w:val="both"/>
        <w:rPr>
          <w:rFonts w:eastAsia="Times New Roman" w:cstheme="minorHAnsi"/>
        </w:rPr>
      </w:pPr>
    </w:p>
    <w:p w14:paraId="456AA21A" w14:textId="2464947E" w:rsidR="008A7848" w:rsidRDefault="002F5E3F" w:rsidP="006E6457">
      <w:pPr>
        <w:spacing w:after="0" w:line="240" w:lineRule="auto"/>
        <w:ind w:left="357"/>
        <w:jc w:val="both"/>
        <w:rPr>
          <w:rFonts w:eastAsia="Times New Roman" w:cstheme="minorHAnsi"/>
        </w:rPr>
      </w:pPr>
      <w:r w:rsidRPr="002F5E3F">
        <w:rPr>
          <w:rFonts w:eastAsia="Times New Roman" w:cstheme="minorHAnsi"/>
        </w:rPr>
        <w:t>The trading platforms must also have effective risk management policies and procedures to ensure the safety and integrity of their customers' funds and assets.</w:t>
      </w:r>
    </w:p>
    <w:p w14:paraId="5FBE3626" w14:textId="77777777" w:rsidR="00B36B1B" w:rsidRPr="00644B77" w:rsidRDefault="00B36B1B" w:rsidP="006E6457">
      <w:pPr>
        <w:spacing w:after="0" w:line="240" w:lineRule="auto"/>
        <w:ind w:left="357"/>
        <w:jc w:val="both"/>
        <w:rPr>
          <w:rFonts w:eastAsia="Times New Roman" w:cstheme="minorHAnsi"/>
          <w:lang w:val="en-SG"/>
        </w:rPr>
      </w:pPr>
    </w:p>
    <w:p w14:paraId="68A9D488" w14:textId="71AAF595" w:rsidR="00E538DF" w:rsidRDefault="009E6883" w:rsidP="006E6457">
      <w:pPr>
        <w:spacing w:after="0" w:line="240" w:lineRule="auto"/>
        <w:ind w:left="357"/>
        <w:jc w:val="both"/>
        <w:rPr>
          <w:rFonts w:eastAsia="Times New Roman" w:cstheme="minorHAnsi"/>
          <w:b/>
          <w:bCs/>
          <w:u w:val="single"/>
          <w:lang w:val="en-SG"/>
        </w:rPr>
      </w:pPr>
      <w:r w:rsidRPr="00644B77">
        <w:rPr>
          <w:rFonts w:eastAsia="Times New Roman" w:cstheme="minorHAnsi"/>
          <w:b/>
          <w:bCs/>
          <w:u w:val="single"/>
          <w:lang w:val="en-SG"/>
        </w:rPr>
        <w:t>What market misconduct legislation/regulations apply to virtual assets?</w:t>
      </w:r>
    </w:p>
    <w:p w14:paraId="74044C55" w14:textId="77777777" w:rsidR="00B36B1B" w:rsidRDefault="00B36B1B" w:rsidP="006E6457">
      <w:pPr>
        <w:spacing w:after="0" w:line="240" w:lineRule="auto"/>
        <w:ind w:left="357"/>
        <w:jc w:val="both"/>
        <w:rPr>
          <w:rFonts w:eastAsia="Times New Roman" w:cstheme="minorHAnsi"/>
          <w:b/>
          <w:bCs/>
          <w:u w:val="single"/>
          <w:lang w:val="en-SG"/>
        </w:rPr>
      </w:pPr>
    </w:p>
    <w:p w14:paraId="1684ED2B" w14:textId="77777777" w:rsidR="005078D6" w:rsidRDefault="005078D6" w:rsidP="006E6457">
      <w:pPr>
        <w:spacing w:after="0" w:line="240" w:lineRule="auto"/>
        <w:ind w:left="357"/>
        <w:jc w:val="both"/>
        <w:rPr>
          <w:rFonts w:eastAsia="Times New Roman" w:cstheme="minorHAnsi"/>
        </w:rPr>
      </w:pPr>
      <w:r w:rsidRPr="005078D6">
        <w:rPr>
          <w:rFonts w:eastAsia="Times New Roman" w:cstheme="minorHAnsi"/>
        </w:rPr>
        <w:t>The FSMR 2015 provides for the regulation of Markets and Trading:</w:t>
      </w:r>
    </w:p>
    <w:p w14:paraId="4C360106" w14:textId="77777777" w:rsidR="005078D6" w:rsidRPr="005078D6" w:rsidRDefault="005078D6" w:rsidP="006E6457">
      <w:pPr>
        <w:spacing w:after="0" w:line="240" w:lineRule="auto"/>
        <w:ind w:left="357"/>
        <w:jc w:val="both"/>
        <w:rPr>
          <w:rFonts w:eastAsia="Times New Roman" w:cstheme="minorHAnsi"/>
        </w:rPr>
      </w:pPr>
    </w:p>
    <w:p w14:paraId="048B4EF6" w14:textId="77777777" w:rsidR="005078D6" w:rsidRPr="005078D6" w:rsidRDefault="005078D6" w:rsidP="006E6457">
      <w:pPr>
        <w:numPr>
          <w:ilvl w:val="0"/>
          <w:numId w:val="157"/>
        </w:numPr>
        <w:spacing w:after="0" w:line="240" w:lineRule="auto"/>
        <w:ind w:left="1077"/>
        <w:jc w:val="both"/>
        <w:rPr>
          <w:rFonts w:eastAsia="Times New Roman" w:cstheme="minorHAnsi"/>
        </w:rPr>
      </w:pPr>
      <w:r w:rsidRPr="005078D6">
        <w:rPr>
          <w:rFonts w:eastAsia="Times New Roman" w:cstheme="minorHAnsi"/>
        </w:rPr>
        <w:t xml:space="preserve">The market abuse provisions make it illegal for </w:t>
      </w:r>
      <w:proofErr w:type="gramStart"/>
      <w:r w:rsidRPr="005078D6">
        <w:rPr>
          <w:rFonts w:eastAsia="Times New Roman" w:cstheme="minorHAnsi"/>
        </w:rPr>
        <w:t>persons</w:t>
      </w:r>
      <w:proofErr w:type="gramEnd"/>
      <w:r w:rsidRPr="005078D6">
        <w:rPr>
          <w:rFonts w:eastAsia="Times New Roman" w:cstheme="minorHAnsi"/>
        </w:rPr>
        <w:t xml:space="preserve"> to engage in any behavior that could create or is intended to create a false or misleading impression as to the market in or the price or value of any financial instrument. This is in line with the regulation's objective of ensuring that the financial markets in the ADGM are supported by safe and efficient infrastructure and foster financial stability, including the reduction of systemic risk.</w:t>
      </w:r>
    </w:p>
    <w:p w14:paraId="6F60D9A7" w14:textId="77777777" w:rsidR="005078D6" w:rsidRPr="005078D6" w:rsidRDefault="005078D6" w:rsidP="006E6457">
      <w:pPr>
        <w:spacing w:after="0" w:line="240" w:lineRule="auto"/>
        <w:ind w:left="714"/>
        <w:jc w:val="both"/>
        <w:rPr>
          <w:rFonts w:eastAsia="Times New Roman" w:cstheme="minorHAnsi"/>
        </w:rPr>
      </w:pPr>
    </w:p>
    <w:p w14:paraId="718AD4E6" w14:textId="77777777" w:rsidR="005078D6" w:rsidRPr="005078D6" w:rsidRDefault="005078D6" w:rsidP="006E6457">
      <w:pPr>
        <w:numPr>
          <w:ilvl w:val="0"/>
          <w:numId w:val="157"/>
        </w:numPr>
        <w:spacing w:after="0" w:line="240" w:lineRule="auto"/>
        <w:ind w:left="1077"/>
        <w:jc w:val="both"/>
        <w:rPr>
          <w:rFonts w:eastAsia="Times New Roman" w:cstheme="minorHAnsi"/>
        </w:rPr>
      </w:pPr>
      <w:r w:rsidRPr="005078D6">
        <w:rPr>
          <w:rFonts w:eastAsia="Times New Roman" w:cstheme="minorHAnsi"/>
        </w:rPr>
        <w:lastRenderedPageBreak/>
        <w:t xml:space="preserve">The regulations also require that virtual asset trading platforms provide comprehensive information on the products and services they offer to their customers. This includes information on fees and commissions, rules governing trading, and procedures for dealing with complaints and disputes. </w:t>
      </w:r>
    </w:p>
    <w:p w14:paraId="761677DC" w14:textId="77777777" w:rsidR="005078D6" w:rsidRPr="005078D6" w:rsidRDefault="005078D6" w:rsidP="006E6457">
      <w:pPr>
        <w:spacing w:after="0" w:line="240" w:lineRule="auto"/>
        <w:ind w:left="714"/>
        <w:jc w:val="both"/>
        <w:rPr>
          <w:rFonts w:eastAsia="Times New Roman" w:cstheme="minorHAnsi"/>
        </w:rPr>
      </w:pPr>
    </w:p>
    <w:p w14:paraId="570119F2" w14:textId="77777777" w:rsidR="005078D6" w:rsidRPr="005078D6" w:rsidRDefault="005078D6" w:rsidP="006E6457">
      <w:pPr>
        <w:numPr>
          <w:ilvl w:val="0"/>
          <w:numId w:val="157"/>
        </w:numPr>
        <w:spacing w:after="0" w:line="240" w:lineRule="auto"/>
        <w:ind w:left="1077"/>
        <w:jc w:val="both"/>
        <w:rPr>
          <w:rFonts w:eastAsia="Times New Roman" w:cstheme="minorHAnsi"/>
        </w:rPr>
      </w:pPr>
      <w:r w:rsidRPr="005078D6">
        <w:rPr>
          <w:rFonts w:eastAsia="Times New Roman" w:cstheme="minorHAnsi"/>
        </w:rPr>
        <w:t xml:space="preserve">The virtual asset trading platforms should also comply with AML and CFT laws and regulations. </w:t>
      </w:r>
    </w:p>
    <w:p w14:paraId="604D4FD3" w14:textId="77777777" w:rsidR="005078D6" w:rsidRPr="005078D6" w:rsidRDefault="005078D6" w:rsidP="006E6457">
      <w:pPr>
        <w:spacing w:after="0" w:line="240" w:lineRule="auto"/>
        <w:ind w:left="714"/>
        <w:jc w:val="both"/>
        <w:rPr>
          <w:rFonts w:eastAsia="Times New Roman" w:cstheme="minorHAnsi"/>
        </w:rPr>
      </w:pPr>
    </w:p>
    <w:p w14:paraId="10FC359C" w14:textId="77777777" w:rsidR="005078D6" w:rsidRPr="005078D6" w:rsidRDefault="005078D6" w:rsidP="006E6457">
      <w:pPr>
        <w:numPr>
          <w:ilvl w:val="0"/>
          <w:numId w:val="157"/>
        </w:numPr>
        <w:spacing w:after="0" w:line="240" w:lineRule="auto"/>
        <w:ind w:left="1077"/>
        <w:jc w:val="both"/>
        <w:rPr>
          <w:rFonts w:eastAsia="Times New Roman" w:cstheme="minorHAnsi"/>
        </w:rPr>
      </w:pPr>
      <w:r w:rsidRPr="005078D6">
        <w:rPr>
          <w:rFonts w:eastAsia="Times New Roman" w:cstheme="minorHAnsi"/>
        </w:rPr>
        <w:t xml:space="preserve">They should also have effective risk management policies and procedures to ensure the safety and integrity of their customers' funds and assets. </w:t>
      </w:r>
    </w:p>
    <w:p w14:paraId="36A160FD" w14:textId="77777777" w:rsidR="005078D6" w:rsidRPr="005078D6" w:rsidRDefault="005078D6" w:rsidP="006E6457">
      <w:pPr>
        <w:spacing w:after="0" w:line="240" w:lineRule="auto"/>
        <w:ind w:left="714"/>
        <w:jc w:val="both"/>
        <w:rPr>
          <w:rFonts w:eastAsia="Times New Roman" w:cstheme="minorHAnsi"/>
        </w:rPr>
      </w:pPr>
    </w:p>
    <w:p w14:paraId="5A1AA06B" w14:textId="1A4DDE72" w:rsidR="005078D6" w:rsidRDefault="005078D6" w:rsidP="006E6457">
      <w:pPr>
        <w:numPr>
          <w:ilvl w:val="0"/>
          <w:numId w:val="157"/>
        </w:numPr>
        <w:spacing w:after="0" w:line="240" w:lineRule="auto"/>
        <w:ind w:left="1077"/>
        <w:jc w:val="both"/>
        <w:rPr>
          <w:rFonts w:eastAsia="Times New Roman" w:cstheme="minorHAnsi"/>
        </w:rPr>
      </w:pPr>
      <w:r w:rsidRPr="005078D6">
        <w:rPr>
          <w:rFonts w:eastAsia="Times New Roman" w:cstheme="minorHAnsi"/>
        </w:rPr>
        <w:t xml:space="preserve">The regulations also impose obligations on market operators to provide customers with information on market rules and procedures and to ensure the fair and transparent operation of the market. </w:t>
      </w:r>
    </w:p>
    <w:p w14:paraId="2982D26E" w14:textId="77777777" w:rsidR="005078D6" w:rsidRPr="005078D6" w:rsidRDefault="005078D6" w:rsidP="006E6457">
      <w:pPr>
        <w:spacing w:after="0" w:line="240" w:lineRule="auto"/>
        <w:ind w:left="357"/>
        <w:jc w:val="both"/>
        <w:rPr>
          <w:rFonts w:eastAsia="Times New Roman" w:cstheme="minorHAnsi"/>
        </w:rPr>
      </w:pPr>
    </w:p>
    <w:p w14:paraId="5D7A32D5" w14:textId="1ECE9281" w:rsidR="00B36B1B" w:rsidRPr="005078D6" w:rsidRDefault="005078D6" w:rsidP="006E6457">
      <w:pPr>
        <w:numPr>
          <w:ilvl w:val="0"/>
          <w:numId w:val="157"/>
        </w:numPr>
        <w:spacing w:after="0" w:line="240" w:lineRule="auto"/>
        <w:ind w:left="1077"/>
        <w:jc w:val="both"/>
        <w:rPr>
          <w:rFonts w:eastAsia="Times New Roman" w:cstheme="minorHAnsi"/>
        </w:rPr>
      </w:pPr>
      <w:r w:rsidRPr="005078D6">
        <w:rPr>
          <w:rFonts w:eastAsia="Times New Roman" w:cstheme="minorHAnsi"/>
        </w:rPr>
        <w:t xml:space="preserve">Moreover, the regulations empower the regulator to </w:t>
      </w:r>
      <w:proofErr w:type="gramStart"/>
      <w:r w:rsidRPr="005078D6">
        <w:rPr>
          <w:rFonts w:eastAsia="Times New Roman" w:cstheme="minorHAnsi"/>
        </w:rPr>
        <w:t>take action</w:t>
      </w:r>
      <w:proofErr w:type="gramEnd"/>
      <w:r w:rsidRPr="005078D6">
        <w:rPr>
          <w:rFonts w:eastAsia="Times New Roman" w:cstheme="minorHAnsi"/>
        </w:rPr>
        <w:t xml:space="preserve"> against regulated entities, including virtual asset trading platforms, who breach any provisions of the regulations, including the market abuse provisions, by imposing fines, sanctions, and other measures as deemed fit by the regulator.</w:t>
      </w:r>
    </w:p>
    <w:p w14:paraId="64654FC6" w14:textId="77777777" w:rsidR="0028403B" w:rsidRPr="00B36B1B" w:rsidRDefault="0028403B" w:rsidP="006E6457">
      <w:pPr>
        <w:spacing w:after="0" w:line="240" w:lineRule="auto"/>
        <w:ind w:left="357"/>
        <w:jc w:val="both"/>
        <w:rPr>
          <w:rFonts w:eastAsia="Times New Roman" w:cstheme="minorHAnsi"/>
          <w:b/>
          <w:bCs/>
          <w:u w:val="single"/>
          <w:lang w:val="en-SG"/>
        </w:rPr>
      </w:pPr>
    </w:p>
    <w:p w14:paraId="73C2D5FA" w14:textId="76B62F20" w:rsidR="00B62FFD" w:rsidRPr="00644B77" w:rsidRDefault="009E6883" w:rsidP="006E6457">
      <w:pPr>
        <w:numPr>
          <w:ilvl w:val="0"/>
          <w:numId w:val="19"/>
        </w:numPr>
        <w:spacing w:after="0" w:line="240" w:lineRule="auto"/>
        <w:jc w:val="both"/>
        <w:rPr>
          <w:rFonts w:eastAsia="Times New Roman" w:cstheme="minorHAnsi"/>
          <w:b/>
          <w:bCs/>
          <w:u w:val="single"/>
          <w:lang w:val="en-SG"/>
        </w:rPr>
      </w:pPr>
      <w:r w:rsidRPr="00644B77">
        <w:rPr>
          <w:rFonts w:eastAsia="Times New Roman" w:cstheme="minorHAnsi"/>
          <w:b/>
          <w:lang w:val="en-SG"/>
        </w:rPr>
        <w:t xml:space="preserve">Regulation of other crypto-related activities </w:t>
      </w:r>
      <w:r w:rsidR="00DD2CD2">
        <w:rPr>
          <w:rFonts w:eastAsia="Times New Roman" w:cstheme="minorHAnsi"/>
          <w:b/>
          <w:lang w:val="en-SG"/>
        </w:rPr>
        <w:t>in Abu Dhabi</w:t>
      </w:r>
    </w:p>
    <w:p w14:paraId="5BEE6719" w14:textId="77777777" w:rsidR="00AC3F77" w:rsidRPr="00644B77" w:rsidRDefault="00AC3F77" w:rsidP="006E6457">
      <w:pPr>
        <w:spacing w:after="0" w:line="240" w:lineRule="auto"/>
        <w:jc w:val="both"/>
        <w:rPr>
          <w:rFonts w:eastAsia="Times New Roman" w:cstheme="minorHAnsi"/>
          <w:b/>
          <w:bCs/>
          <w:u w:val="single"/>
          <w:lang w:val="en-SG"/>
        </w:rPr>
      </w:pPr>
    </w:p>
    <w:p w14:paraId="25ABB717" w14:textId="26E6ECE6" w:rsidR="00B62FFD" w:rsidRPr="00644B77" w:rsidRDefault="00FD5A15" w:rsidP="006E6457">
      <w:pPr>
        <w:spacing w:after="0" w:line="240" w:lineRule="auto"/>
        <w:ind w:left="360"/>
        <w:jc w:val="both"/>
        <w:rPr>
          <w:rFonts w:eastAsia="Times New Roman" w:cstheme="minorHAnsi"/>
          <w:b/>
          <w:bCs/>
          <w:u w:val="single"/>
          <w:lang w:val="en-SG"/>
        </w:rPr>
      </w:pPr>
      <w:r w:rsidRPr="00FD5A15">
        <w:rPr>
          <w:rFonts w:eastAsia="Times New Roman" w:cstheme="minorHAnsi"/>
          <w:b/>
          <w:bCs/>
          <w:u w:val="single"/>
        </w:rPr>
        <w:t>What is the regulatory framework for crypto fund managers of venture capital in Abu Dhabi?</w:t>
      </w:r>
      <w:r w:rsidR="009E6883" w:rsidRPr="00644B77">
        <w:rPr>
          <w:rFonts w:eastAsia="Times New Roman" w:cstheme="minorHAnsi"/>
          <w:b/>
          <w:bCs/>
          <w:u w:val="single"/>
          <w:lang w:val="en-SG"/>
        </w:rPr>
        <w:t xml:space="preserve"> </w:t>
      </w:r>
    </w:p>
    <w:p w14:paraId="74A750DD" w14:textId="77777777" w:rsidR="00AC3F77" w:rsidRPr="00644B77" w:rsidRDefault="00AC3F77" w:rsidP="006E6457">
      <w:pPr>
        <w:spacing w:after="0" w:line="240" w:lineRule="auto"/>
        <w:ind w:left="360"/>
        <w:jc w:val="both"/>
        <w:rPr>
          <w:rFonts w:eastAsia="Times New Roman" w:cstheme="minorHAnsi"/>
          <w:b/>
          <w:bCs/>
          <w:u w:val="single"/>
          <w:lang w:val="en-SG"/>
        </w:rPr>
      </w:pPr>
    </w:p>
    <w:p w14:paraId="46815289" w14:textId="4E321F18" w:rsidR="00FD5A15" w:rsidRDefault="00FD5A15" w:rsidP="006E6457">
      <w:pPr>
        <w:spacing w:after="0" w:line="240" w:lineRule="auto"/>
        <w:ind w:left="360"/>
        <w:jc w:val="both"/>
        <w:rPr>
          <w:rFonts w:eastAsia="Times New Roman" w:cstheme="minorHAnsi"/>
        </w:rPr>
      </w:pPr>
      <w:r w:rsidRPr="00FD5A15">
        <w:rPr>
          <w:rFonts w:eastAsia="Times New Roman" w:cstheme="minorHAnsi"/>
        </w:rPr>
        <w:t>The "</w:t>
      </w:r>
      <w:hyperlink r:id="rId39" w:history="1">
        <w:r w:rsidRPr="00FD5A15">
          <w:rPr>
            <w:rStyle w:val="Hyperlink"/>
            <w:rFonts w:eastAsia="Times New Roman" w:cstheme="minorHAnsi"/>
            <w:color w:val="FF6E00"/>
            <w:u w:val="none"/>
          </w:rPr>
          <w:t>Guidance - Regulatory Framework for Fund Managers of Venture Capital Funds</w:t>
        </w:r>
      </w:hyperlink>
      <w:r w:rsidRPr="00FD5A15">
        <w:rPr>
          <w:rFonts w:eastAsia="Times New Roman" w:cstheme="minorHAnsi"/>
        </w:rPr>
        <w:t>," issued by the FSRA, establishes a regulatory framework for Venture Capital (</w:t>
      </w:r>
      <w:r w:rsidRPr="00FD5A15">
        <w:rPr>
          <w:rFonts w:eastAsia="Times New Roman" w:cstheme="minorHAnsi"/>
          <w:b/>
          <w:bCs/>
        </w:rPr>
        <w:t>VC</w:t>
      </w:r>
      <w:r w:rsidRPr="00FD5A15">
        <w:rPr>
          <w:rFonts w:eastAsia="Times New Roman" w:cstheme="minorHAnsi"/>
        </w:rPr>
        <w:t>)</w:t>
      </w:r>
      <w:r w:rsidR="00B458CD">
        <w:rPr>
          <w:rFonts w:eastAsia="Times New Roman" w:cstheme="minorHAnsi"/>
        </w:rPr>
        <w:t xml:space="preserve"> </w:t>
      </w:r>
      <w:r w:rsidRPr="00FD5A15">
        <w:rPr>
          <w:rFonts w:eastAsia="Times New Roman" w:cstheme="minorHAnsi"/>
        </w:rPr>
        <w:t>Fund Managers. This framework is applicable to managers of crypto funds if they adhere to the explained criteria in FUNDS. The regulatory framework encompasses eligibility criteria, authorisation requirements, and ongoing regulatory obligations.</w:t>
      </w:r>
    </w:p>
    <w:p w14:paraId="23A96AFA" w14:textId="77777777" w:rsidR="00FD5A15" w:rsidRPr="00FD5A15" w:rsidRDefault="00FD5A15" w:rsidP="006E6457">
      <w:pPr>
        <w:spacing w:after="0" w:line="240" w:lineRule="auto"/>
        <w:ind w:left="360"/>
        <w:jc w:val="both"/>
        <w:rPr>
          <w:rFonts w:eastAsia="Times New Roman" w:cstheme="minorHAnsi"/>
        </w:rPr>
      </w:pPr>
    </w:p>
    <w:p w14:paraId="6A4821B7" w14:textId="77777777" w:rsidR="00FD5A15" w:rsidRDefault="00FD5A15" w:rsidP="006E6457">
      <w:pPr>
        <w:spacing w:after="0" w:line="240" w:lineRule="auto"/>
        <w:ind w:left="360"/>
        <w:jc w:val="both"/>
        <w:rPr>
          <w:rFonts w:eastAsia="Times New Roman" w:cstheme="minorHAnsi"/>
        </w:rPr>
      </w:pPr>
      <w:r w:rsidRPr="00FD5A15">
        <w:rPr>
          <w:rFonts w:eastAsia="Times New Roman" w:cstheme="minorHAnsi"/>
        </w:rPr>
        <w:t>Eligibility criteria stipulate that applicants must demonstrate that each VC Fund they manage meets specific conditions outlined in FUNDS. These conditions include restricting a VC Fund to being a closed fund, investing solely in the securities of non-listed early-stage companies available exclusively to professional clients. Moreover, there are limits on the maximum subscription amount, subject to FSRA approval.</w:t>
      </w:r>
    </w:p>
    <w:p w14:paraId="4BAB5D16" w14:textId="77777777" w:rsidR="00FD5A15" w:rsidRPr="00FD5A15" w:rsidRDefault="00FD5A15" w:rsidP="006E6457">
      <w:pPr>
        <w:spacing w:after="0" w:line="240" w:lineRule="auto"/>
        <w:ind w:left="360"/>
        <w:jc w:val="both"/>
        <w:rPr>
          <w:rFonts w:eastAsia="Times New Roman" w:cstheme="minorHAnsi"/>
        </w:rPr>
      </w:pPr>
    </w:p>
    <w:p w14:paraId="6C42626A" w14:textId="77777777" w:rsidR="00FD5A15" w:rsidRDefault="00FD5A15" w:rsidP="006E6457">
      <w:pPr>
        <w:spacing w:after="0" w:line="240" w:lineRule="auto"/>
        <w:ind w:left="360"/>
        <w:jc w:val="both"/>
        <w:rPr>
          <w:rFonts w:eastAsia="Times New Roman" w:cstheme="minorHAnsi"/>
        </w:rPr>
      </w:pPr>
      <w:r w:rsidRPr="00FD5A15">
        <w:rPr>
          <w:rFonts w:eastAsia="Times New Roman" w:cstheme="minorHAnsi"/>
        </w:rPr>
        <w:t>Authorisation is necessary for a VC Manager to engage in the regulated activity of managing a collective investment fund, including fund management activities related to a VC Fund. VC Managers in Abu Dhabi also need a Financial Services Permission (</w:t>
      </w:r>
      <w:r w:rsidRPr="00FD5A15">
        <w:rPr>
          <w:rFonts w:eastAsia="Times New Roman" w:cstheme="minorHAnsi"/>
          <w:b/>
          <w:bCs/>
        </w:rPr>
        <w:t>FSP</w:t>
      </w:r>
      <w:r w:rsidRPr="00FD5A15">
        <w:rPr>
          <w:rFonts w:eastAsia="Times New Roman" w:cstheme="minorHAnsi"/>
        </w:rPr>
        <w:t>) for regulated activities related to VC Funds and co-investments by third parties.</w:t>
      </w:r>
    </w:p>
    <w:p w14:paraId="7E4B9DAA" w14:textId="77777777" w:rsidR="00FD5A15" w:rsidRPr="00FD5A15" w:rsidRDefault="00FD5A15" w:rsidP="006E6457">
      <w:pPr>
        <w:spacing w:after="0" w:line="240" w:lineRule="auto"/>
        <w:ind w:left="360"/>
        <w:jc w:val="both"/>
        <w:rPr>
          <w:rFonts w:eastAsia="Times New Roman" w:cstheme="minorHAnsi"/>
        </w:rPr>
      </w:pPr>
    </w:p>
    <w:p w14:paraId="49C65CCA" w14:textId="77777777" w:rsidR="00FD5A15" w:rsidRDefault="00FD5A15" w:rsidP="006E6457">
      <w:pPr>
        <w:spacing w:after="0" w:line="240" w:lineRule="auto"/>
        <w:ind w:left="360"/>
        <w:jc w:val="both"/>
        <w:rPr>
          <w:rFonts w:eastAsia="Times New Roman" w:cstheme="minorHAnsi"/>
        </w:rPr>
      </w:pPr>
      <w:r w:rsidRPr="00FD5A15">
        <w:rPr>
          <w:rFonts w:eastAsia="Times New Roman" w:cstheme="minorHAnsi"/>
        </w:rPr>
        <w:t xml:space="preserve">Additional requirements pertain to approved and recognised </w:t>
      </w:r>
      <w:proofErr w:type="gramStart"/>
      <w:r w:rsidRPr="00FD5A15">
        <w:rPr>
          <w:rFonts w:eastAsia="Times New Roman" w:cstheme="minorHAnsi"/>
        </w:rPr>
        <w:t>persons</w:t>
      </w:r>
      <w:proofErr w:type="gramEnd"/>
      <w:r w:rsidRPr="00FD5A15">
        <w:rPr>
          <w:rFonts w:eastAsia="Times New Roman" w:cstheme="minorHAnsi"/>
        </w:rPr>
        <w:t>. For instance, a Senior Executive Officer (</w:t>
      </w:r>
      <w:r w:rsidRPr="00FD5A15">
        <w:rPr>
          <w:rFonts w:eastAsia="Times New Roman" w:cstheme="minorHAnsi"/>
          <w:b/>
          <w:bCs/>
        </w:rPr>
        <w:t>SEO</w:t>
      </w:r>
      <w:r w:rsidRPr="00FD5A15">
        <w:rPr>
          <w:rFonts w:eastAsia="Times New Roman" w:cstheme="minorHAnsi"/>
        </w:rPr>
        <w:t>) must have a minimum of ten years' relevant experience, and a Licensed Director or Licensed Partner should possess at least five years' experience in operating a VC or private equity fund or demonstrate in-depth industry expertise.</w:t>
      </w:r>
    </w:p>
    <w:p w14:paraId="656013F2" w14:textId="77777777" w:rsidR="00FD5A15" w:rsidRPr="00FD5A15" w:rsidRDefault="00FD5A15" w:rsidP="006E6457">
      <w:pPr>
        <w:spacing w:after="0" w:line="240" w:lineRule="auto"/>
        <w:ind w:left="360"/>
        <w:jc w:val="both"/>
        <w:rPr>
          <w:rFonts w:eastAsia="Times New Roman" w:cstheme="minorHAnsi"/>
        </w:rPr>
      </w:pPr>
    </w:p>
    <w:p w14:paraId="59E29AF5" w14:textId="77777777" w:rsidR="00FD5A15" w:rsidRDefault="00FD5A15" w:rsidP="006E6457">
      <w:pPr>
        <w:spacing w:after="0" w:line="240" w:lineRule="auto"/>
        <w:ind w:left="360"/>
        <w:jc w:val="both"/>
        <w:rPr>
          <w:rFonts w:eastAsia="Times New Roman" w:cstheme="minorHAnsi"/>
        </w:rPr>
      </w:pPr>
      <w:r w:rsidRPr="00FD5A15">
        <w:rPr>
          <w:rFonts w:eastAsia="Times New Roman" w:cstheme="minorHAnsi"/>
        </w:rPr>
        <w:t>Regarding ongoing regulatory requirements, VC Managers must have the necessary expertise, either in-house or outsourced, to prepare and oversee financial accounts. While appointing a Finance Officer is not mandatory, the VC Manager must appoint a Compliance Officer (</w:t>
      </w:r>
      <w:r w:rsidRPr="00FD5A15">
        <w:rPr>
          <w:rFonts w:eastAsia="Times New Roman" w:cstheme="minorHAnsi"/>
          <w:b/>
          <w:bCs/>
        </w:rPr>
        <w:t>CO</w:t>
      </w:r>
      <w:r w:rsidRPr="00FD5A15">
        <w:rPr>
          <w:rFonts w:eastAsia="Times New Roman" w:cstheme="minorHAnsi"/>
        </w:rPr>
        <w:t>)</w:t>
      </w:r>
      <w:r w:rsidRPr="00FD5A15">
        <w:rPr>
          <w:rFonts w:eastAsia="Times New Roman" w:cstheme="minorHAnsi"/>
          <w:b/>
          <w:bCs/>
        </w:rPr>
        <w:t xml:space="preserve"> </w:t>
      </w:r>
      <w:r w:rsidRPr="00FD5A15">
        <w:rPr>
          <w:rFonts w:eastAsia="Times New Roman" w:cstheme="minorHAnsi"/>
        </w:rPr>
        <w:t xml:space="preserve">and a Money Laundering </w:t>
      </w:r>
      <w:r w:rsidRPr="00FD5A15">
        <w:rPr>
          <w:rFonts w:eastAsia="Times New Roman" w:cstheme="minorHAnsi"/>
        </w:rPr>
        <w:lastRenderedPageBreak/>
        <w:t>Reporting Officer (</w:t>
      </w:r>
      <w:r w:rsidRPr="00FD5A15">
        <w:rPr>
          <w:rFonts w:eastAsia="Times New Roman" w:cstheme="minorHAnsi"/>
          <w:b/>
          <w:bCs/>
        </w:rPr>
        <w:t>MLRO</w:t>
      </w:r>
      <w:r w:rsidRPr="00FD5A15">
        <w:rPr>
          <w:rFonts w:eastAsia="Times New Roman" w:cstheme="minorHAnsi"/>
        </w:rPr>
        <w:t>), both independent of the front office investment function. These functions may be carried out by the same individual, in-house, or outsourced, and need not be dedicated or independent of other control functions.</w:t>
      </w:r>
    </w:p>
    <w:p w14:paraId="5849C739" w14:textId="77777777" w:rsidR="00FD5A15" w:rsidRPr="00FD5A15" w:rsidRDefault="00FD5A15" w:rsidP="006E6457">
      <w:pPr>
        <w:spacing w:after="0" w:line="240" w:lineRule="auto"/>
        <w:ind w:left="360"/>
        <w:jc w:val="both"/>
        <w:rPr>
          <w:rFonts w:eastAsia="Times New Roman" w:cstheme="minorHAnsi"/>
        </w:rPr>
      </w:pPr>
    </w:p>
    <w:p w14:paraId="655F8038" w14:textId="77777777" w:rsidR="00FD5A15" w:rsidRPr="00FD5A15" w:rsidRDefault="00FD5A15" w:rsidP="006E6457">
      <w:pPr>
        <w:spacing w:after="0" w:line="240" w:lineRule="auto"/>
        <w:ind w:left="360"/>
        <w:jc w:val="both"/>
        <w:rPr>
          <w:rFonts w:eastAsia="Times New Roman" w:cstheme="minorHAnsi"/>
        </w:rPr>
      </w:pPr>
      <w:r w:rsidRPr="00FD5A15">
        <w:rPr>
          <w:rFonts w:eastAsia="Times New Roman" w:cstheme="minorHAnsi"/>
        </w:rPr>
        <w:t>In conclusion, managers of crypto funds are regulated in Abu Dhabi under the "Guidance - Regulatory Framework for Fund Managers of Venture Capital Funds" if they adhere to the eligibility criteria, authorisation requirements, and ongoing regulatory obligations.</w:t>
      </w:r>
    </w:p>
    <w:p w14:paraId="23AB98AF" w14:textId="77777777" w:rsidR="00E538DF" w:rsidRPr="00644B77" w:rsidRDefault="00E538DF" w:rsidP="006E6457">
      <w:pPr>
        <w:spacing w:after="0" w:line="240" w:lineRule="auto"/>
        <w:jc w:val="both"/>
        <w:rPr>
          <w:rFonts w:eastAsia="Times New Roman" w:cstheme="minorHAnsi"/>
          <w:b/>
          <w:bCs/>
          <w:u w:val="single"/>
          <w:lang w:val="en-SG"/>
        </w:rPr>
      </w:pPr>
    </w:p>
    <w:p w14:paraId="54DE0805" w14:textId="2EA6074D" w:rsidR="00B62FFD" w:rsidRPr="00644B77" w:rsidRDefault="009E6883" w:rsidP="006E645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distributors of virtual asset funds regulated </w:t>
      </w:r>
      <w:r w:rsidR="00DD2CD2">
        <w:rPr>
          <w:rFonts w:eastAsia="Times New Roman" w:cstheme="minorHAnsi"/>
          <w:b/>
          <w:bCs/>
          <w:u w:val="single"/>
          <w:lang w:val="en-SG"/>
        </w:rPr>
        <w:t>in Abu Dhabi</w:t>
      </w:r>
      <w:r w:rsidRPr="00644B77">
        <w:rPr>
          <w:rFonts w:eastAsia="Times New Roman" w:cstheme="minorHAnsi"/>
          <w:b/>
          <w:bCs/>
          <w:u w:val="single"/>
          <w:lang w:val="en-SG"/>
        </w:rPr>
        <w:t>?</w:t>
      </w:r>
    </w:p>
    <w:p w14:paraId="244ED14D" w14:textId="77777777" w:rsidR="00AC3F77" w:rsidRPr="00644B77" w:rsidRDefault="00AC3F77" w:rsidP="006E6457">
      <w:pPr>
        <w:spacing w:after="0" w:line="240" w:lineRule="auto"/>
        <w:ind w:left="360"/>
        <w:jc w:val="both"/>
        <w:rPr>
          <w:rFonts w:eastAsia="Times New Roman" w:cstheme="minorHAnsi"/>
          <w:b/>
          <w:bCs/>
          <w:u w:val="single"/>
          <w:lang w:val="en-SG"/>
        </w:rPr>
      </w:pPr>
    </w:p>
    <w:p w14:paraId="11B45A9A" w14:textId="77777777" w:rsidR="009344E4" w:rsidRDefault="009344E4" w:rsidP="006E6457">
      <w:pPr>
        <w:spacing w:after="0" w:line="240" w:lineRule="auto"/>
        <w:ind w:left="360"/>
        <w:jc w:val="both"/>
        <w:rPr>
          <w:rFonts w:eastAsia="Times New Roman" w:cstheme="minorHAnsi"/>
        </w:rPr>
      </w:pPr>
      <w:r w:rsidRPr="009344E4">
        <w:rPr>
          <w:rFonts w:eastAsia="Times New Roman" w:cstheme="minorHAnsi"/>
        </w:rPr>
        <w:t xml:space="preserve">According to </w:t>
      </w:r>
      <w:proofErr w:type="gramStart"/>
      <w:r w:rsidRPr="009344E4">
        <w:rPr>
          <w:rFonts w:eastAsia="Times New Roman" w:cstheme="minorHAnsi"/>
        </w:rPr>
        <w:t>the FSMR</w:t>
      </w:r>
      <w:proofErr w:type="gramEnd"/>
      <w:r w:rsidRPr="009344E4">
        <w:rPr>
          <w:rFonts w:eastAsia="Times New Roman" w:cstheme="minorHAnsi"/>
        </w:rPr>
        <w:t xml:space="preserve"> 2015, distributors of virtual asset funds are subject to regulation in Abu Dhabi. Promoting, dealing in, or managing a fund may constitute a regulated activity, for which the entity must have authorisation from the regulator, the FSRA.</w:t>
      </w:r>
    </w:p>
    <w:p w14:paraId="7FE90C0F" w14:textId="77777777" w:rsidR="009344E4" w:rsidRPr="009344E4" w:rsidRDefault="009344E4" w:rsidP="006E6457">
      <w:pPr>
        <w:spacing w:after="0" w:line="240" w:lineRule="auto"/>
        <w:ind w:left="360"/>
        <w:jc w:val="both"/>
        <w:rPr>
          <w:rFonts w:eastAsia="Times New Roman" w:cstheme="minorHAnsi"/>
        </w:rPr>
      </w:pPr>
    </w:p>
    <w:p w14:paraId="4F048C74" w14:textId="77777777" w:rsidR="009344E4" w:rsidRDefault="009344E4" w:rsidP="006E6457">
      <w:pPr>
        <w:spacing w:after="0" w:line="240" w:lineRule="auto"/>
        <w:ind w:left="360"/>
        <w:jc w:val="both"/>
        <w:rPr>
          <w:rFonts w:eastAsia="Times New Roman" w:cstheme="minorHAnsi"/>
        </w:rPr>
      </w:pPr>
      <w:r w:rsidRPr="009344E4">
        <w:rPr>
          <w:rFonts w:eastAsia="Times New Roman" w:cstheme="minorHAnsi"/>
        </w:rPr>
        <w:t xml:space="preserve">The regulations define a fund as a scheme or arrangement having as its object or effect both </w:t>
      </w:r>
      <w:proofErr w:type="gramStart"/>
      <w:r w:rsidRPr="009344E4">
        <w:rPr>
          <w:rFonts w:eastAsia="Times New Roman" w:cstheme="minorHAnsi"/>
        </w:rPr>
        <w:t>pooling of</w:t>
      </w:r>
      <w:proofErr w:type="gramEnd"/>
      <w:r w:rsidRPr="009344E4">
        <w:rPr>
          <w:rFonts w:eastAsia="Times New Roman" w:cstheme="minorHAnsi"/>
        </w:rPr>
        <w:t xml:space="preserve"> investor funds and spreading of risk over </w:t>
      </w:r>
      <w:proofErr w:type="gramStart"/>
      <w:r w:rsidRPr="009344E4">
        <w:rPr>
          <w:rFonts w:eastAsia="Times New Roman" w:cstheme="minorHAnsi"/>
        </w:rPr>
        <w:t>a number of</w:t>
      </w:r>
      <w:proofErr w:type="gramEnd"/>
      <w:r w:rsidRPr="009344E4">
        <w:rPr>
          <w:rFonts w:eastAsia="Times New Roman" w:cstheme="minorHAnsi"/>
        </w:rPr>
        <w:t xml:space="preserve"> investments. A virtual asset fund's distribution typically includes promoting it as an investment opportunity to potential investors, which can lead to the regulated activity of dealing in a fund. </w:t>
      </w:r>
    </w:p>
    <w:p w14:paraId="1F083109" w14:textId="77777777" w:rsidR="009344E4" w:rsidRPr="009344E4" w:rsidRDefault="009344E4" w:rsidP="006E6457">
      <w:pPr>
        <w:spacing w:after="0" w:line="240" w:lineRule="auto"/>
        <w:ind w:left="360"/>
        <w:jc w:val="both"/>
        <w:rPr>
          <w:rFonts w:eastAsia="Times New Roman" w:cstheme="minorHAnsi"/>
        </w:rPr>
      </w:pPr>
    </w:p>
    <w:p w14:paraId="7C8D150E" w14:textId="77777777" w:rsidR="009344E4" w:rsidRDefault="009344E4" w:rsidP="006E6457">
      <w:pPr>
        <w:spacing w:after="0" w:line="240" w:lineRule="auto"/>
        <w:ind w:left="360"/>
        <w:jc w:val="both"/>
        <w:rPr>
          <w:rFonts w:eastAsia="Times New Roman" w:cstheme="minorHAnsi"/>
        </w:rPr>
      </w:pPr>
      <w:r w:rsidRPr="009344E4">
        <w:rPr>
          <w:rFonts w:eastAsia="Times New Roman" w:cstheme="minorHAnsi"/>
        </w:rPr>
        <w:t xml:space="preserve">Moreover, entities that wish to engage in regulated activities must obtain authorisation from the FSRA. Among other things, entities must demonstrate that they have the required knowledge, skills, and expertise to carry out the regulated activities and effectively assess risks and undertake due diligence. </w:t>
      </w:r>
    </w:p>
    <w:p w14:paraId="633E2F53" w14:textId="77777777" w:rsidR="009344E4" w:rsidRPr="009344E4" w:rsidRDefault="009344E4" w:rsidP="006E6457">
      <w:pPr>
        <w:spacing w:after="0" w:line="240" w:lineRule="auto"/>
        <w:ind w:left="360"/>
        <w:jc w:val="both"/>
        <w:rPr>
          <w:rFonts w:eastAsia="Times New Roman" w:cstheme="minorHAnsi"/>
        </w:rPr>
      </w:pPr>
    </w:p>
    <w:p w14:paraId="5A5F6A2F" w14:textId="7A79D59C" w:rsidR="004311E2" w:rsidRDefault="009344E4" w:rsidP="006E6457">
      <w:pPr>
        <w:spacing w:after="0" w:line="240" w:lineRule="auto"/>
        <w:ind w:left="360"/>
        <w:jc w:val="both"/>
        <w:rPr>
          <w:rFonts w:eastAsia="Times New Roman" w:cstheme="minorHAnsi"/>
        </w:rPr>
      </w:pPr>
      <w:r w:rsidRPr="009344E4">
        <w:rPr>
          <w:rFonts w:eastAsia="Times New Roman" w:cstheme="minorHAnsi"/>
        </w:rPr>
        <w:t>Therefore, distributors of virtual asset funds should seek authorisation from the FSRA in Abu Dhabi and ensure they comply with all relevant regulations. Distributing unauthorised investment opportunities can result in severe penalties, such as fines and reputational damage.</w:t>
      </w:r>
    </w:p>
    <w:p w14:paraId="2867E024" w14:textId="77777777" w:rsidR="008A7848" w:rsidRPr="00644B77" w:rsidRDefault="008A7848" w:rsidP="006E6457">
      <w:pPr>
        <w:spacing w:after="0" w:line="240" w:lineRule="auto"/>
        <w:ind w:left="360"/>
        <w:jc w:val="both"/>
        <w:rPr>
          <w:rFonts w:eastAsia="Times New Roman" w:cstheme="minorHAnsi"/>
          <w:b/>
          <w:bCs/>
          <w:u w:val="single"/>
          <w:lang w:val="en-SG"/>
        </w:rPr>
      </w:pPr>
    </w:p>
    <w:p w14:paraId="617CA107" w14:textId="7C4969DD" w:rsidR="00B62FFD" w:rsidRPr="00644B77" w:rsidRDefault="009E6883" w:rsidP="006E645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there requirements for intermediaries seeking to provide trading in virtual assets for clients or advise clients on virtual assets </w:t>
      </w:r>
      <w:r w:rsidR="00DD2CD2">
        <w:rPr>
          <w:rFonts w:eastAsia="Times New Roman" w:cstheme="minorHAnsi"/>
          <w:b/>
          <w:bCs/>
          <w:u w:val="single"/>
          <w:lang w:val="en-SG"/>
        </w:rPr>
        <w:t>in Abu Dhabi</w:t>
      </w:r>
      <w:r w:rsidRPr="00644B77">
        <w:rPr>
          <w:rFonts w:eastAsia="Times New Roman" w:cstheme="minorHAnsi"/>
          <w:b/>
          <w:bCs/>
          <w:u w:val="single"/>
          <w:lang w:val="en-SG"/>
        </w:rPr>
        <w:t>?</w:t>
      </w:r>
    </w:p>
    <w:p w14:paraId="7672780D" w14:textId="77777777" w:rsidR="00AC3F77" w:rsidRPr="00644B77" w:rsidRDefault="00AC3F77" w:rsidP="006E6457">
      <w:pPr>
        <w:spacing w:after="0" w:line="240" w:lineRule="auto"/>
        <w:ind w:left="360"/>
        <w:jc w:val="both"/>
        <w:rPr>
          <w:rFonts w:eastAsia="Times New Roman" w:cstheme="minorHAnsi"/>
          <w:b/>
          <w:bCs/>
          <w:u w:val="single"/>
          <w:lang w:val="en-SG"/>
        </w:rPr>
      </w:pPr>
    </w:p>
    <w:p w14:paraId="05C341EB" w14:textId="77777777" w:rsidR="007823D6" w:rsidRPr="007823D6" w:rsidRDefault="007823D6" w:rsidP="006E6457">
      <w:pPr>
        <w:numPr>
          <w:ilvl w:val="0"/>
          <w:numId w:val="158"/>
        </w:numPr>
        <w:spacing w:after="0" w:line="240" w:lineRule="auto"/>
        <w:ind w:left="1080"/>
        <w:jc w:val="both"/>
        <w:rPr>
          <w:rFonts w:eastAsia="Times New Roman" w:cstheme="minorHAnsi"/>
        </w:rPr>
      </w:pPr>
      <w:proofErr w:type="gramStart"/>
      <w:r w:rsidRPr="007823D6">
        <w:rPr>
          <w:rFonts w:eastAsia="Times New Roman" w:cstheme="minorHAnsi"/>
        </w:rPr>
        <w:t>The FSMR</w:t>
      </w:r>
      <w:proofErr w:type="gramEnd"/>
      <w:r w:rsidRPr="007823D6">
        <w:rPr>
          <w:rFonts w:eastAsia="Times New Roman" w:cstheme="minorHAnsi"/>
        </w:rPr>
        <w:t xml:space="preserve"> 2015 require that entities engaged in regulated activities, such as intermediating the trading of virtual assets or advising clients on virtual assets, obtain authorisation from the FSRA. Intermediating the trading of virtual assets or advising on virtual assets may be considered regulated activities under the regulations, so entities must seek authorisation from the FSRA. Entities are required to demonstrate that they have the necessary knowledge, skills, and expertise to carry out these activities, assess risks, and conduct due diligence, among other things. </w:t>
      </w:r>
    </w:p>
    <w:p w14:paraId="2EC48381" w14:textId="77777777" w:rsidR="007823D6" w:rsidRPr="007823D6" w:rsidRDefault="007823D6" w:rsidP="006E6457">
      <w:pPr>
        <w:spacing w:after="0" w:line="240" w:lineRule="auto"/>
        <w:ind w:left="720"/>
        <w:jc w:val="both"/>
        <w:rPr>
          <w:rFonts w:eastAsia="Times New Roman" w:cstheme="minorHAnsi"/>
        </w:rPr>
      </w:pPr>
    </w:p>
    <w:p w14:paraId="43F5A901" w14:textId="77777777" w:rsidR="007823D6" w:rsidRPr="007823D6" w:rsidRDefault="007823D6" w:rsidP="006E6457">
      <w:pPr>
        <w:numPr>
          <w:ilvl w:val="0"/>
          <w:numId w:val="158"/>
        </w:numPr>
        <w:spacing w:after="0" w:line="240" w:lineRule="auto"/>
        <w:ind w:left="1080"/>
        <w:jc w:val="both"/>
        <w:rPr>
          <w:rFonts w:eastAsia="Times New Roman" w:cstheme="minorHAnsi"/>
        </w:rPr>
      </w:pPr>
      <w:r w:rsidRPr="007823D6">
        <w:rPr>
          <w:rFonts w:eastAsia="Times New Roman" w:cstheme="minorHAnsi"/>
        </w:rPr>
        <w:t xml:space="preserve">Furthermore, as part of the authorisation process, entities may need to comply with additional requirements, such as capital requirements and reporting obligations. </w:t>
      </w:r>
    </w:p>
    <w:p w14:paraId="42616D98" w14:textId="77777777" w:rsidR="007823D6" w:rsidRPr="007823D6" w:rsidRDefault="007823D6" w:rsidP="006E6457">
      <w:pPr>
        <w:spacing w:after="0" w:line="240" w:lineRule="auto"/>
        <w:ind w:left="720"/>
        <w:jc w:val="both"/>
        <w:rPr>
          <w:rFonts w:eastAsia="Times New Roman" w:cstheme="minorHAnsi"/>
        </w:rPr>
      </w:pPr>
    </w:p>
    <w:p w14:paraId="2EB63F14" w14:textId="77777777" w:rsidR="007823D6" w:rsidRPr="007823D6" w:rsidRDefault="007823D6" w:rsidP="006E6457">
      <w:pPr>
        <w:numPr>
          <w:ilvl w:val="0"/>
          <w:numId w:val="158"/>
        </w:numPr>
        <w:spacing w:after="0" w:line="240" w:lineRule="auto"/>
        <w:ind w:left="1080"/>
        <w:jc w:val="both"/>
        <w:rPr>
          <w:rFonts w:eastAsia="Times New Roman" w:cstheme="minorHAnsi"/>
        </w:rPr>
      </w:pPr>
      <w:r w:rsidRPr="007823D6">
        <w:rPr>
          <w:rFonts w:eastAsia="Times New Roman" w:cstheme="minorHAnsi"/>
        </w:rPr>
        <w:t>In summary, intermediaries dealing with virtual assets or advising clients on virtual assets must seek authorisation from the FSRA and comply with relevant regulations to operate legally in Abu Dhabi.</w:t>
      </w:r>
    </w:p>
    <w:p w14:paraId="209EBA75" w14:textId="77777777" w:rsidR="007823D6" w:rsidRPr="007823D6" w:rsidRDefault="007823D6" w:rsidP="006E6457">
      <w:pPr>
        <w:spacing w:after="0" w:line="240" w:lineRule="auto"/>
        <w:ind w:left="720"/>
        <w:jc w:val="both"/>
        <w:rPr>
          <w:rFonts w:eastAsia="Times New Roman" w:cstheme="minorHAnsi"/>
        </w:rPr>
      </w:pPr>
    </w:p>
    <w:p w14:paraId="132A4608" w14:textId="11221906" w:rsidR="007823D6" w:rsidRDefault="007823D6" w:rsidP="006E6457">
      <w:pPr>
        <w:numPr>
          <w:ilvl w:val="0"/>
          <w:numId w:val="158"/>
        </w:numPr>
        <w:spacing w:after="0" w:line="240" w:lineRule="auto"/>
        <w:ind w:left="1080"/>
        <w:jc w:val="both"/>
        <w:rPr>
          <w:rFonts w:eastAsia="Times New Roman" w:cstheme="minorHAnsi"/>
        </w:rPr>
      </w:pPr>
      <w:r w:rsidRPr="007823D6">
        <w:rPr>
          <w:rFonts w:eastAsia="Times New Roman" w:cstheme="minorHAnsi"/>
        </w:rPr>
        <w:t xml:space="preserve">The ADGM also provides guidance on the regulation of virtual assets through its Crypto Asset Regulatory Framework. The framework sets out regulations relating to activities involving </w:t>
      </w:r>
      <w:r w:rsidRPr="007823D6">
        <w:rPr>
          <w:rFonts w:eastAsia="Times New Roman" w:cstheme="minorHAnsi"/>
        </w:rPr>
        <w:lastRenderedPageBreak/>
        <w:t>virtual assets, such as exchanges, custodians, and intermediaries. It requires that participants seeking to provide services related to virtual assets obtain appropriate licenses and meet specific obligations, including prudential requirements, capital adequacy, and risk management.</w:t>
      </w:r>
    </w:p>
    <w:p w14:paraId="3D461AD7" w14:textId="77777777" w:rsidR="007823D6" w:rsidRPr="007823D6" w:rsidRDefault="007823D6" w:rsidP="006E6457">
      <w:pPr>
        <w:spacing w:after="0" w:line="240" w:lineRule="auto"/>
        <w:ind w:left="360"/>
        <w:jc w:val="both"/>
        <w:rPr>
          <w:rFonts w:eastAsia="Times New Roman" w:cstheme="minorHAnsi"/>
        </w:rPr>
      </w:pPr>
    </w:p>
    <w:p w14:paraId="12470B71" w14:textId="6AC67451" w:rsidR="00B36B1B" w:rsidRPr="007823D6" w:rsidRDefault="007823D6" w:rsidP="006E6457">
      <w:pPr>
        <w:numPr>
          <w:ilvl w:val="0"/>
          <w:numId w:val="158"/>
        </w:numPr>
        <w:spacing w:after="0" w:line="240" w:lineRule="auto"/>
        <w:ind w:left="1080"/>
        <w:jc w:val="both"/>
        <w:rPr>
          <w:rFonts w:eastAsia="Times New Roman" w:cstheme="minorHAnsi"/>
        </w:rPr>
      </w:pPr>
      <w:r w:rsidRPr="007823D6">
        <w:rPr>
          <w:rFonts w:eastAsia="Times New Roman" w:cstheme="minorHAnsi"/>
        </w:rPr>
        <w:t>Furthermore, the ADGM has issued guidance on Initial Coin Offerings (</w:t>
      </w:r>
      <w:r w:rsidRPr="007823D6">
        <w:rPr>
          <w:rFonts w:eastAsia="Times New Roman" w:cstheme="minorHAnsi"/>
          <w:b/>
          <w:bCs/>
        </w:rPr>
        <w:t>ICOs</w:t>
      </w:r>
      <w:r w:rsidRPr="007823D6">
        <w:rPr>
          <w:rFonts w:eastAsia="Times New Roman" w:cstheme="minorHAnsi"/>
        </w:rPr>
        <w:t>), which may be used to raise capital through the issuance of digital tokens. The guidance sets out the requirements and procedures for the issuance of digital tokens and specifies that ICO issuers must comply with anti-money laundering and counter-terrorist financing regulations.</w:t>
      </w:r>
    </w:p>
    <w:p w14:paraId="00A8CD4B" w14:textId="77777777" w:rsidR="0028403B" w:rsidRPr="00644B77" w:rsidRDefault="0028403B" w:rsidP="006E6457">
      <w:pPr>
        <w:spacing w:after="0" w:line="240" w:lineRule="auto"/>
        <w:ind w:left="360"/>
        <w:jc w:val="both"/>
        <w:rPr>
          <w:rFonts w:eastAsia="Times New Roman" w:cstheme="minorHAnsi"/>
          <w:b/>
          <w:bCs/>
          <w:u w:val="single"/>
          <w:lang w:val="en-SG"/>
        </w:rPr>
      </w:pPr>
    </w:p>
    <w:p w14:paraId="0CD37C62" w14:textId="77777777" w:rsidR="00B62FFD" w:rsidRPr="00644B77" w:rsidRDefault="009E6883" w:rsidP="006E6457">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Other relevant regulatory information</w:t>
      </w:r>
    </w:p>
    <w:p w14:paraId="54EF6ADB" w14:textId="77777777" w:rsidR="00AC3F77" w:rsidRPr="00644B77" w:rsidRDefault="00AC3F77" w:rsidP="006E6457">
      <w:pPr>
        <w:spacing w:after="0" w:line="240" w:lineRule="auto"/>
        <w:jc w:val="both"/>
        <w:rPr>
          <w:rFonts w:eastAsia="Times New Roman" w:cstheme="minorHAnsi"/>
          <w:b/>
          <w:lang w:val="en-SG"/>
        </w:rPr>
      </w:pPr>
    </w:p>
    <w:p w14:paraId="5D677053" w14:textId="71439253" w:rsidR="00B62FFD" w:rsidRPr="00644B77" w:rsidRDefault="009E6883" w:rsidP="006E645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there any upcoming regulatory developments in respect of crypto-related activity </w:t>
      </w:r>
      <w:r w:rsidR="00DD2CD2">
        <w:rPr>
          <w:rFonts w:eastAsia="Times New Roman" w:cstheme="minorHAnsi"/>
          <w:b/>
          <w:bCs/>
          <w:u w:val="single"/>
          <w:lang w:val="en-SG"/>
        </w:rPr>
        <w:t>in Abu Dhabi</w:t>
      </w:r>
      <w:r w:rsidRPr="00644B77">
        <w:rPr>
          <w:rFonts w:eastAsia="Times New Roman" w:cstheme="minorHAnsi"/>
          <w:b/>
          <w:bCs/>
          <w:u w:val="single"/>
          <w:lang w:val="en-SG"/>
        </w:rPr>
        <w:t>?</w:t>
      </w:r>
    </w:p>
    <w:p w14:paraId="5B3C7C35" w14:textId="77777777" w:rsidR="00B36B1B" w:rsidRDefault="00B36B1B" w:rsidP="006E6457">
      <w:pPr>
        <w:spacing w:after="0" w:line="240" w:lineRule="auto"/>
        <w:ind w:left="360"/>
        <w:jc w:val="both"/>
        <w:rPr>
          <w:rFonts w:eastAsia="Times New Roman" w:cstheme="minorHAnsi"/>
        </w:rPr>
      </w:pPr>
    </w:p>
    <w:p w14:paraId="5109B6AA" w14:textId="77777777" w:rsidR="00AB1DC3" w:rsidRDefault="00AB1DC3" w:rsidP="006E6457">
      <w:pPr>
        <w:spacing w:after="0" w:line="240" w:lineRule="auto"/>
        <w:ind w:left="360"/>
        <w:jc w:val="both"/>
        <w:rPr>
          <w:rFonts w:eastAsia="Times New Roman" w:cstheme="minorHAnsi"/>
        </w:rPr>
      </w:pPr>
      <w:r w:rsidRPr="00AB1DC3">
        <w:rPr>
          <w:rFonts w:eastAsia="Times New Roman" w:cstheme="minorHAnsi"/>
        </w:rPr>
        <w:t xml:space="preserve">Abu Dhabi is advancing its regulatory framework concerning cryptocurrencies and related activities. The FSRA of the ADGM is set to introduce comprehensive regulations specifically targeting DeFi activities, alongside amendments to existing virtual asset regulations. </w:t>
      </w:r>
    </w:p>
    <w:p w14:paraId="7340A7E6" w14:textId="77777777" w:rsidR="00AB1DC3" w:rsidRPr="00AB1DC3" w:rsidRDefault="00AB1DC3" w:rsidP="006E6457">
      <w:pPr>
        <w:spacing w:after="0" w:line="240" w:lineRule="auto"/>
        <w:ind w:left="360"/>
        <w:jc w:val="both"/>
        <w:rPr>
          <w:rFonts w:eastAsia="Times New Roman" w:cstheme="minorHAnsi"/>
        </w:rPr>
      </w:pPr>
    </w:p>
    <w:p w14:paraId="7CB182C1" w14:textId="77777777" w:rsidR="00AB1DC3" w:rsidRDefault="00AB1DC3" w:rsidP="006E6457">
      <w:pPr>
        <w:spacing w:after="0" w:line="240" w:lineRule="auto"/>
        <w:ind w:left="360"/>
        <w:jc w:val="both"/>
        <w:rPr>
          <w:rFonts w:eastAsia="Times New Roman" w:cstheme="minorHAnsi"/>
        </w:rPr>
      </w:pPr>
      <w:r w:rsidRPr="00AB1DC3">
        <w:rPr>
          <w:rFonts w:eastAsia="Times New Roman" w:cstheme="minorHAnsi"/>
        </w:rPr>
        <w:t xml:space="preserve">One notable initiative is the FSRA's recent public consultation on a proposed regulatory framework for FRTs, a category of stablecoins. Stakeholders are invited to provide feedback by October 3, 2024, after which the FSRA will review comments and finalise the framework. This proposed regulation aims to ensure that FRT issuers maintain adequate reserve assets and operate under stringent operational requirements, reflecting a proactive approach to managing risks associated with </w:t>
      </w:r>
      <w:proofErr w:type="gramStart"/>
      <w:r w:rsidRPr="00AB1DC3">
        <w:rPr>
          <w:rFonts w:eastAsia="Times New Roman" w:cstheme="minorHAnsi"/>
        </w:rPr>
        <w:t>stablecoins</w:t>
      </w:r>
      <w:proofErr w:type="gramEnd"/>
      <w:r w:rsidRPr="00AB1DC3">
        <w:rPr>
          <w:rFonts w:eastAsia="Times New Roman" w:cstheme="minorHAnsi"/>
        </w:rPr>
        <w:t>.</w:t>
      </w:r>
    </w:p>
    <w:p w14:paraId="7863976A" w14:textId="77777777" w:rsidR="00AB1DC3" w:rsidRPr="00AB1DC3" w:rsidRDefault="00AB1DC3" w:rsidP="006E6457">
      <w:pPr>
        <w:spacing w:after="0" w:line="240" w:lineRule="auto"/>
        <w:ind w:left="360"/>
        <w:jc w:val="both"/>
        <w:rPr>
          <w:rFonts w:eastAsia="Times New Roman" w:cstheme="minorHAnsi"/>
        </w:rPr>
      </w:pPr>
    </w:p>
    <w:p w14:paraId="61749875" w14:textId="1C7924DC" w:rsidR="00AB1DC3" w:rsidRDefault="00AB1DC3" w:rsidP="006E6457">
      <w:pPr>
        <w:spacing w:after="0" w:line="240" w:lineRule="auto"/>
        <w:ind w:left="360"/>
        <w:jc w:val="both"/>
        <w:rPr>
          <w:rFonts w:eastAsia="Times New Roman" w:cstheme="minorHAnsi"/>
        </w:rPr>
      </w:pPr>
      <w:r w:rsidRPr="00AB1DC3">
        <w:rPr>
          <w:rFonts w:eastAsia="Times New Roman" w:cstheme="minorHAnsi"/>
        </w:rPr>
        <w:t>Moreover, the FSRA is incorporating innovative technologies such as Artificial Intelligence into its regulatory processes, enhancing efficiency and enabling a 'Regulation as a Service' model. This initiative aims to streamline compliance for virtual asset providers while ensuring oversight. The FSRA is also updating its existing virtual asset framework to better align with international guidelines, particularly those set forth by the Financial Action Task Force (</w:t>
      </w:r>
      <w:hyperlink r:id="rId40" w:history="1">
        <w:r w:rsidRPr="00AB1DC3">
          <w:rPr>
            <w:rStyle w:val="Hyperlink"/>
            <w:rFonts w:eastAsia="Times New Roman" w:cstheme="minorHAnsi"/>
            <w:b/>
            <w:bCs/>
            <w:color w:val="FF6E00"/>
            <w:u w:val="none"/>
          </w:rPr>
          <w:t>FATF</w:t>
        </w:r>
      </w:hyperlink>
      <w:r w:rsidRPr="00AB1DC3">
        <w:rPr>
          <w:rFonts w:eastAsia="Times New Roman" w:cstheme="minorHAnsi"/>
        </w:rPr>
        <w:t>). This includes terminology adjustments, expanding the regulatory scope to encompass a wider range of crypto transactions and Initial Coin Offerings (</w:t>
      </w:r>
      <w:r w:rsidRPr="00AB1DC3">
        <w:rPr>
          <w:rFonts w:eastAsia="Times New Roman" w:cstheme="minorHAnsi"/>
          <w:b/>
          <w:bCs/>
        </w:rPr>
        <w:t>ICOs</w:t>
      </w:r>
      <w:r w:rsidRPr="00AB1DC3">
        <w:rPr>
          <w:rFonts w:eastAsia="Times New Roman" w:cstheme="minorHAnsi"/>
        </w:rPr>
        <w:t>), and refining compliance requirements for virtual asset activities. Additionally, the FSRA has recognised the growing significance of NFTs within the digital asset ecosystem. While it has not yet established a formal regulatory framework for NFTs, it is open to their activities being conducted under specific conditions by regulated entities within the ADGM.</w:t>
      </w:r>
    </w:p>
    <w:p w14:paraId="15F83FEB" w14:textId="77777777" w:rsidR="0028403B" w:rsidRPr="00644B77" w:rsidRDefault="0028403B" w:rsidP="006E6457">
      <w:pPr>
        <w:spacing w:after="0" w:line="240" w:lineRule="auto"/>
        <w:ind w:left="360"/>
        <w:jc w:val="both"/>
        <w:rPr>
          <w:rFonts w:eastAsia="Times New Roman" w:cstheme="minorHAnsi"/>
          <w:b/>
          <w:bCs/>
          <w:u w:val="single"/>
          <w:lang w:val="en-SG"/>
        </w:rPr>
      </w:pPr>
    </w:p>
    <w:p w14:paraId="1B6032E5" w14:textId="7928E2DE" w:rsidR="00E538DF" w:rsidRDefault="009E6883" w:rsidP="006E6457">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Has there been any notable events </w:t>
      </w:r>
      <w:r w:rsidR="00DD2CD2">
        <w:rPr>
          <w:rFonts w:eastAsia="Times New Roman" w:cstheme="minorHAnsi"/>
          <w:b/>
          <w:bCs/>
          <w:u w:val="single"/>
          <w:lang w:val="en-SG"/>
        </w:rPr>
        <w:t>in Abu Dhabi</w:t>
      </w:r>
      <w:r w:rsidR="00AD22F5" w:rsidRPr="00644B77">
        <w:rPr>
          <w:rFonts w:eastAsia="Times New Roman" w:cstheme="minorHAnsi"/>
          <w:b/>
          <w:bCs/>
          <w:u w:val="single"/>
          <w:lang w:val="en-SG"/>
        </w:rPr>
        <w:t xml:space="preserve"> </w:t>
      </w:r>
      <w:r w:rsidRPr="00644B77">
        <w:rPr>
          <w:rFonts w:eastAsia="Times New Roman" w:cstheme="minorHAnsi"/>
          <w:b/>
          <w:bCs/>
          <w:u w:val="single"/>
          <w:lang w:val="en-SG"/>
        </w:rPr>
        <w:t>that has prompted regulatory change recently?</w:t>
      </w:r>
    </w:p>
    <w:p w14:paraId="4A4B3125" w14:textId="77777777" w:rsidR="00B36B1B" w:rsidRDefault="00B36B1B" w:rsidP="006E6457">
      <w:pPr>
        <w:spacing w:after="0" w:line="240" w:lineRule="auto"/>
        <w:ind w:left="360"/>
        <w:jc w:val="both"/>
        <w:rPr>
          <w:rFonts w:eastAsia="Times New Roman" w:cstheme="minorHAnsi"/>
          <w:b/>
          <w:bCs/>
          <w:u w:val="single"/>
          <w:lang w:val="en-SG"/>
        </w:rPr>
      </w:pPr>
    </w:p>
    <w:p w14:paraId="344749A6" w14:textId="77777777" w:rsidR="001E5355" w:rsidRDefault="001E5355" w:rsidP="006E6457">
      <w:pPr>
        <w:spacing w:after="0" w:line="240" w:lineRule="auto"/>
        <w:ind w:left="360"/>
        <w:jc w:val="both"/>
        <w:rPr>
          <w:rFonts w:eastAsia="Times New Roman" w:cstheme="minorHAnsi"/>
        </w:rPr>
      </w:pPr>
      <w:r w:rsidRPr="001E5355">
        <w:rPr>
          <w:rFonts w:eastAsia="Times New Roman" w:cstheme="minorHAnsi"/>
        </w:rPr>
        <w:t xml:space="preserve">Significant </w:t>
      </w:r>
      <w:proofErr w:type="gramStart"/>
      <w:r w:rsidRPr="001E5355">
        <w:rPr>
          <w:rFonts w:eastAsia="Times New Roman" w:cstheme="minorHAnsi"/>
        </w:rPr>
        <w:t>event</w:t>
      </w:r>
      <w:proofErr w:type="gramEnd"/>
      <w:r w:rsidRPr="001E5355">
        <w:rPr>
          <w:rFonts w:eastAsia="Times New Roman" w:cstheme="minorHAnsi"/>
        </w:rPr>
        <w:t xml:space="preserve"> contributing to the evolving regulatory environment in Abu Dhabi has been the growing interest of major crypto firms in the region. Companies such as Copper Technologies, Paxos Trust, and eToro Group Ltd. have shown interest in Abu Dhabi due to investor-friendly policies, a supportive regulatory framework, and a network of partners. Abu Dhabi's approach in aligning with innovation in digital assets, as seen in the ADGM 2024 business plan, is playing a crucial role in positioning the city as an attractive destination for crypto businesses. The influx of major players into the Abu Dhabi crypto market is influencing the local regulatory approach to be more accommodating </w:t>
      </w:r>
      <w:proofErr w:type="gramStart"/>
      <w:r w:rsidRPr="001E5355">
        <w:rPr>
          <w:rFonts w:eastAsia="Times New Roman" w:cstheme="minorHAnsi"/>
        </w:rPr>
        <w:t>and forward-</w:t>
      </w:r>
      <w:proofErr w:type="gramEnd"/>
      <w:r w:rsidRPr="001E5355">
        <w:rPr>
          <w:rFonts w:eastAsia="Times New Roman" w:cstheme="minorHAnsi"/>
        </w:rPr>
        <w:t>thinking.</w:t>
      </w:r>
    </w:p>
    <w:p w14:paraId="777FF85B" w14:textId="77777777" w:rsidR="001E5355" w:rsidRPr="001E5355" w:rsidRDefault="001E5355" w:rsidP="006E6457">
      <w:pPr>
        <w:spacing w:after="0" w:line="240" w:lineRule="auto"/>
        <w:ind w:left="360"/>
        <w:jc w:val="both"/>
        <w:rPr>
          <w:rFonts w:eastAsia="Times New Roman" w:cstheme="minorHAnsi"/>
          <w:u w:val="single"/>
        </w:rPr>
      </w:pPr>
    </w:p>
    <w:p w14:paraId="2DE1322F" w14:textId="762C4C54" w:rsidR="001E5355" w:rsidRDefault="001E5355" w:rsidP="006E6457">
      <w:pPr>
        <w:spacing w:after="0" w:line="240" w:lineRule="auto"/>
        <w:ind w:left="360"/>
        <w:jc w:val="both"/>
        <w:rPr>
          <w:rFonts w:eastAsia="Times New Roman" w:cstheme="minorHAnsi"/>
        </w:rPr>
      </w:pPr>
      <w:r w:rsidRPr="001E5355">
        <w:rPr>
          <w:rFonts w:eastAsia="Times New Roman" w:cstheme="minorHAnsi"/>
        </w:rPr>
        <w:t>Furthermore, Abu Dhabi has introduced a new blockchain and cryptocurrency body, the Middle East, Africa, and Asia Crypto and Blockchain Association (</w:t>
      </w:r>
      <w:hyperlink r:id="rId41" w:history="1">
        <w:r w:rsidRPr="001E5355">
          <w:rPr>
            <w:rStyle w:val="Hyperlink"/>
            <w:rFonts w:eastAsia="Times New Roman" w:cstheme="minorHAnsi"/>
            <w:b/>
            <w:bCs/>
            <w:color w:val="FF6E00"/>
            <w:u w:val="none"/>
          </w:rPr>
          <w:t>MEAACBA</w:t>
        </w:r>
      </w:hyperlink>
      <w:r w:rsidRPr="001E5355">
        <w:rPr>
          <w:rFonts w:eastAsia="Times New Roman" w:cstheme="minorHAnsi"/>
        </w:rPr>
        <w:t>). Supported by the ADGM, this non-</w:t>
      </w:r>
      <w:r w:rsidRPr="001E5355">
        <w:rPr>
          <w:rFonts w:eastAsia="Times New Roman" w:cstheme="minorHAnsi"/>
        </w:rPr>
        <w:lastRenderedPageBreak/>
        <w:t xml:space="preserve">profit organisation aims to bring together industry players to address challenges in the sector and integrate digital assets into key economic sectors. MEAACBA includes major cryptocurrency platforms as partners and focuses on developing educational campaigns, creating frameworks for blockchain ecosystems, and advancing financial inclusivity. This initiative is part of the broader UAE efforts to integrate blockchain into its economy and government, showcasing Abu Dhabi's commitment to being a leader in </w:t>
      </w:r>
      <w:proofErr w:type="gramStart"/>
      <w:r w:rsidRPr="001E5355">
        <w:rPr>
          <w:rFonts w:eastAsia="Times New Roman" w:cstheme="minorHAnsi"/>
        </w:rPr>
        <w:t>the fintech</w:t>
      </w:r>
      <w:proofErr w:type="gramEnd"/>
      <w:r w:rsidRPr="001E5355">
        <w:rPr>
          <w:rFonts w:eastAsia="Times New Roman" w:cstheme="minorHAnsi"/>
        </w:rPr>
        <w:t xml:space="preserve"> space.</w:t>
      </w:r>
    </w:p>
    <w:p w14:paraId="38A640B9" w14:textId="77777777" w:rsidR="001E5355" w:rsidRPr="001E5355" w:rsidRDefault="001E5355" w:rsidP="006E6457">
      <w:pPr>
        <w:spacing w:after="0" w:line="240" w:lineRule="auto"/>
        <w:ind w:left="360"/>
        <w:jc w:val="both"/>
        <w:rPr>
          <w:rFonts w:eastAsia="Times New Roman" w:cstheme="minorHAnsi"/>
        </w:rPr>
      </w:pPr>
    </w:p>
    <w:p w14:paraId="334EF67D" w14:textId="584C4BE8" w:rsidR="001E5355" w:rsidRDefault="001E5355" w:rsidP="006E6457">
      <w:pPr>
        <w:spacing w:after="0" w:line="240" w:lineRule="auto"/>
        <w:ind w:left="360"/>
        <w:jc w:val="both"/>
        <w:rPr>
          <w:rFonts w:eastAsia="Times New Roman" w:cstheme="minorHAnsi"/>
        </w:rPr>
      </w:pPr>
      <w:r w:rsidRPr="001E5355">
        <w:rPr>
          <w:rFonts w:eastAsia="Times New Roman" w:cstheme="minorHAnsi"/>
        </w:rPr>
        <w:t xml:space="preserve">Another significant event involved Binance, a leading cryptocurrency exchange, </w:t>
      </w:r>
      <w:hyperlink r:id="rId42" w:history="1">
        <w:r w:rsidRPr="00794DCB">
          <w:rPr>
            <w:rStyle w:val="Hyperlink"/>
            <w:rFonts w:eastAsia="Times New Roman" w:cstheme="minorHAnsi"/>
            <w:color w:val="FF6E00"/>
            <w:u w:val="none"/>
          </w:rPr>
          <w:t>withdrawing its application</w:t>
        </w:r>
      </w:hyperlink>
      <w:r w:rsidRPr="001E5355">
        <w:rPr>
          <w:rFonts w:eastAsia="Times New Roman" w:cstheme="minorHAnsi"/>
        </w:rPr>
        <w:t xml:space="preserve"> for managing a </w:t>
      </w:r>
      <w:r w:rsidRPr="00794DCB">
        <w:rPr>
          <w:rFonts w:eastAsia="Times New Roman" w:cstheme="minorHAnsi"/>
        </w:rPr>
        <w:t>collective investment fund in Abu Dhabi</w:t>
      </w:r>
      <w:r w:rsidRPr="001E5355">
        <w:rPr>
          <w:rFonts w:eastAsia="Times New Roman" w:cstheme="minorHAnsi"/>
        </w:rPr>
        <w:t>. This decision, unrelated to Binance's legal challenges in the United States, where the company faced a $4.3 billion settlement, was part of the company's global reassessment of licensing requirements and strategic growth priorities. It is worth noting that Binance still provides crypto custody services in Abu Dhabi, and the withdrawal of the application was explicitly stated to be unrelated to the U.S. settlement.</w:t>
      </w:r>
    </w:p>
    <w:p w14:paraId="00D74FC1" w14:textId="77777777" w:rsidR="001E5355" w:rsidRPr="001E5355" w:rsidRDefault="001E5355" w:rsidP="006E6457">
      <w:pPr>
        <w:spacing w:after="0" w:line="240" w:lineRule="auto"/>
        <w:ind w:left="360"/>
        <w:jc w:val="both"/>
        <w:rPr>
          <w:rFonts w:eastAsia="Times New Roman" w:cstheme="minorHAnsi"/>
        </w:rPr>
      </w:pPr>
    </w:p>
    <w:p w14:paraId="0F12E53E" w14:textId="0A9710C4" w:rsidR="00B36B1B" w:rsidRDefault="001E5355" w:rsidP="006E6457">
      <w:pPr>
        <w:spacing w:after="0" w:line="240" w:lineRule="auto"/>
        <w:ind w:left="360"/>
        <w:jc w:val="both"/>
        <w:rPr>
          <w:rFonts w:eastAsia="Times New Roman" w:cstheme="minorHAnsi"/>
        </w:rPr>
      </w:pPr>
      <w:r w:rsidRPr="001E5355">
        <w:rPr>
          <w:rFonts w:eastAsia="Times New Roman" w:cstheme="minorHAnsi"/>
        </w:rPr>
        <w:t xml:space="preserve">Also, in August 2024, Abu Dhabi </w:t>
      </w:r>
      <w:proofErr w:type="gramStart"/>
      <w:r w:rsidRPr="001E5355">
        <w:rPr>
          <w:rFonts w:eastAsia="Times New Roman" w:cstheme="minorHAnsi"/>
        </w:rPr>
        <w:t>has introduced</w:t>
      </w:r>
      <w:proofErr w:type="gramEnd"/>
      <w:r w:rsidRPr="001E5355">
        <w:rPr>
          <w:rFonts w:eastAsia="Times New Roman" w:cstheme="minorHAnsi"/>
        </w:rPr>
        <w:t xml:space="preserve"> significant regulations specifically targeting FRTs. The introduction of FRT regulations aims to ensure that these </w:t>
      </w:r>
      <w:proofErr w:type="gramStart"/>
      <w:r w:rsidRPr="001E5355">
        <w:rPr>
          <w:rFonts w:eastAsia="Times New Roman" w:cstheme="minorHAnsi"/>
        </w:rPr>
        <w:t>stablecoins</w:t>
      </w:r>
      <w:proofErr w:type="gramEnd"/>
      <w:r w:rsidRPr="001E5355">
        <w:rPr>
          <w:rFonts w:eastAsia="Times New Roman" w:cstheme="minorHAnsi"/>
        </w:rPr>
        <w:t xml:space="preserve"> maintain a stable value through backing by high-quality, liquid assets denominated in a single fiat currency.</w:t>
      </w:r>
    </w:p>
    <w:p w14:paraId="233BC749" w14:textId="77777777" w:rsidR="0028403B" w:rsidRPr="00B36B1B" w:rsidRDefault="0028403B" w:rsidP="006E6457">
      <w:pPr>
        <w:spacing w:after="0" w:line="240" w:lineRule="auto"/>
        <w:ind w:left="360"/>
        <w:jc w:val="both"/>
        <w:rPr>
          <w:rFonts w:eastAsia="Times New Roman" w:cstheme="minorHAnsi"/>
          <w:b/>
          <w:bCs/>
          <w:u w:val="single"/>
          <w:lang w:val="en-SG"/>
        </w:rPr>
      </w:pPr>
    </w:p>
    <w:p w14:paraId="14FBEAF9" w14:textId="47274198" w:rsidR="00B62FFD" w:rsidRPr="00644B77" w:rsidRDefault="009E6883" w:rsidP="006E6457">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 xml:space="preserve">Pending litigation and judgments related to virtual assets </w:t>
      </w:r>
      <w:r w:rsidR="00DD2CD2">
        <w:rPr>
          <w:rFonts w:eastAsia="Times New Roman" w:cstheme="minorHAnsi"/>
          <w:b/>
          <w:lang w:val="en-SG"/>
        </w:rPr>
        <w:t>in Abu Dhabi</w:t>
      </w:r>
      <w:r w:rsidR="00800E9F" w:rsidRPr="00644B77">
        <w:rPr>
          <w:rFonts w:eastAsia="Times New Roman" w:cstheme="minorHAnsi"/>
          <w:b/>
          <w:lang w:val="en-SG"/>
        </w:rPr>
        <w:t xml:space="preserve"> </w:t>
      </w:r>
      <w:r w:rsidRPr="00644B77">
        <w:rPr>
          <w:rFonts w:eastAsia="Times New Roman" w:cstheme="minorHAnsi"/>
          <w:b/>
          <w:lang w:val="en-SG"/>
        </w:rPr>
        <w:t>(if any)</w:t>
      </w:r>
    </w:p>
    <w:p w14:paraId="375BF8D9" w14:textId="77777777" w:rsidR="00AC3F77" w:rsidRPr="00644B77" w:rsidRDefault="00AC3F77" w:rsidP="006E6457">
      <w:pPr>
        <w:spacing w:after="0" w:line="240" w:lineRule="auto"/>
        <w:jc w:val="both"/>
        <w:rPr>
          <w:rFonts w:eastAsia="Times New Roman" w:cstheme="minorHAnsi"/>
          <w:b/>
          <w:lang w:val="en-SG"/>
        </w:rPr>
      </w:pPr>
    </w:p>
    <w:p w14:paraId="6C4B547D" w14:textId="4834619C" w:rsidR="00C03FBB" w:rsidRDefault="00C03FBB" w:rsidP="006E6457">
      <w:pPr>
        <w:spacing w:after="0" w:line="240" w:lineRule="auto"/>
        <w:ind w:left="360"/>
        <w:jc w:val="both"/>
        <w:rPr>
          <w:rFonts w:eastAsia="Times New Roman" w:cstheme="minorHAnsi"/>
          <w:bCs/>
        </w:rPr>
      </w:pPr>
      <w:r w:rsidRPr="00C03FBB">
        <w:rPr>
          <w:rFonts w:eastAsia="Times New Roman" w:cstheme="minorHAnsi"/>
          <w:bCs/>
        </w:rPr>
        <w:t xml:space="preserve">There was an incident involving an </w:t>
      </w:r>
      <w:hyperlink r:id="rId43" w:history="1">
        <w:r w:rsidRPr="00406921">
          <w:rPr>
            <w:rStyle w:val="Hyperlink"/>
            <w:rFonts w:eastAsia="Times New Roman" w:cstheme="minorHAnsi"/>
            <w:bCs/>
            <w:color w:val="FF6E00"/>
            <w:u w:val="none"/>
          </w:rPr>
          <w:t>Abu Dhabi businessman who lost $20,000</w:t>
        </w:r>
      </w:hyperlink>
      <w:r w:rsidRPr="00C03FBB">
        <w:rPr>
          <w:rFonts w:eastAsia="Times New Roman" w:cstheme="minorHAnsi"/>
          <w:bCs/>
        </w:rPr>
        <w:t xml:space="preserve"> in a cryptocurrency scam. This case is significant as it highlights the growing issue of crypto-related frauds. The businessman was deceived by a scammer posing as a previous vendor. After establishing trust, the scammer convinced him to invest in a cryptocurrency trading platform. Initially, the businessman made a small investment and saw a return, which encouraged him to invest a larger sum of $20,000. However, it turned out to be a scam, and he was unable to recover his </w:t>
      </w:r>
      <w:r w:rsidRPr="00406921">
        <w:rPr>
          <w:rFonts w:eastAsia="Times New Roman" w:cstheme="minorHAnsi"/>
          <w:bCs/>
        </w:rPr>
        <w:t>investment</w:t>
      </w:r>
      <w:r w:rsidRPr="00C03FBB">
        <w:rPr>
          <w:rFonts w:eastAsia="Times New Roman" w:cstheme="minorHAnsi"/>
          <w:bCs/>
        </w:rPr>
        <w:t>.</w:t>
      </w:r>
    </w:p>
    <w:p w14:paraId="1CE05050" w14:textId="77777777" w:rsidR="00C03FBB" w:rsidRPr="00C03FBB" w:rsidRDefault="00C03FBB" w:rsidP="006E6457">
      <w:pPr>
        <w:spacing w:after="0" w:line="240" w:lineRule="auto"/>
        <w:ind w:left="360"/>
        <w:jc w:val="both"/>
        <w:rPr>
          <w:rFonts w:eastAsia="Times New Roman" w:cstheme="minorHAnsi"/>
          <w:bCs/>
        </w:rPr>
      </w:pPr>
    </w:p>
    <w:p w14:paraId="20F53054" w14:textId="77777777" w:rsidR="00C03FBB" w:rsidRDefault="00C03FBB" w:rsidP="006E6457">
      <w:pPr>
        <w:spacing w:after="0" w:line="240" w:lineRule="auto"/>
        <w:ind w:left="360"/>
        <w:jc w:val="both"/>
        <w:rPr>
          <w:rFonts w:eastAsia="Times New Roman" w:cstheme="minorHAnsi"/>
          <w:bCs/>
        </w:rPr>
      </w:pPr>
      <w:r w:rsidRPr="00C03FBB">
        <w:rPr>
          <w:rFonts w:eastAsia="Times New Roman" w:cstheme="minorHAnsi"/>
          <w:bCs/>
        </w:rPr>
        <w:t>This case exemplifies the risks associated with cryptocurrency investments, especially regarding scams and fraudulent schemes.</w:t>
      </w:r>
    </w:p>
    <w:p w14:paraId="11298E8E" w14:textId="77777777" w:rsidR="00C03FBB" w:rsidRPr="00C03FBB" w:rsidRDefault="00C03FBB" w:rsidP="006E6457">
      <w:pPr>
        <w:spacing w:after="0" w:line="240" w:lineRule="auto"/>
        <w:ind w:left="360"/>
        <w:jc w:val="both"/>
        <w:rPr>
          <w:rFonts w:eastAsia="Times New Roman" w:cstheme="minorHAnsi"/>
          <w:bCs/>
        </w:rPr>
      </w:pPr>
    </w:p>
    <w:p w14:paraId="551AA70F" w14:textId="4A42A81B" w:rsidR="004311E2" w:rsidRDefault="00C03FBB" w:rsidP="00B31B53">
      <w:pPr>
        <w:spacing w:after="0" w:line="240" w:lineRule="auto"/>
        <w:ind w:left="360"/>
        <w:jc w:val="both"/>
        <w:rPr>
          <w:rFonts w:eastAsia="Times New Roman" w:cstheme="minorHAnsi"/>
          <w:bCs/>
        </w:rPr>
      </w:pPr>
      <w:r w:rsidRPr="00C03FBB">
        <w:rPr>
          <w:rFonts w:eastAsia="Times New Roman" w:cstheme="minorHAnsi"/>
          <w:bCs/>
        </w:rPr>
        <w:t xml:space="preserve">In another case related to cryptocurrency involved the </w:t>
      </w:r>
      <w:hyperlink r:id="rId44" w:history="1">
        <w:r w:rsidRPr="00D71CA1">
          <w:rPr>
            <w:rStyle w:val="Hyperlink"/>
            <w:rFonts w:eastAsia="Times New Roman" w:cstheme="minorHAnsi"/>
            <w:bCs/>
            <w:color w:val="FF6E00"/>
            <w:u w:val="none"/>
          </w:rPr>
          <w:t>conviction of nine individuals and six companies for money laundering and cryptocurrency trading</w:t>
        </w:r>
      </w:hyperlink>
      <w:r w:rsidRPr="00C03FBB">
        <w:rPr>
          <w:rFonts w:eastAsia="Times New Roman" w:cstheme="minorHAnsi"/>
          <w:bCs/>
        </w:rPr>
        <w:t xml:space="preserve">. The defendants were involved in a fraudulent scheme where they lured victims into investing in a shell company, claiming specialisation in digital currency trading. The Abu Dhabi Criminal Court sentenced four of the accused to ten years in prison and a fine of AED 10 million each, with deportation orders post-sentence for all except the second accused. The companies involved were fined AED 50 million each. This case was a result of coordinated efforts by various authorities to combat money laundering and financial crimes related to </w:t>
      </w:r>
      <w:r w:rsidRPr="00D71CA1">
        <w:rPr>
          <w:rFonts w:eastAsia="Times New Roman" w:cstheme="minorHAnsi"/>
          <w:bCs/>
        </w:rPr>
        <w:t>cryptocurrency trading</w:t>
      </w:r>
      <w:r w:rsidRPr="00C03FBB">
        <w:rPr>
          <w:rFonts w:eastAsia="Times New Roman" w:cstheme="minorHAnsi"/>
          <w:bCs/>
        </w:rPr>
        <w:t>.</w:t>
      </w:r>
    </w:p>
    <w:p w14:paraId="3D2E17C5" w14:textId="77777777" w:rsidR="0028403B" w:rsidRPr="00644B77" w:rsidRDefault="0028403B" w:rsidP="006E6457">
      <w:pPr>
        <w:spacing w:after="0" w:line="240" w:lineRule="auto"/>
        <w:ind w:left="360"/>
        <w:jc w:val="both"/>
        <w:rPr>
          <w:rFonts w:eastAsia="Times New Roman" w:cstheme="minorHAnsi"/>
          <w:b/>
          <w:lang w:val="en-SG"/>
        </w:rPr>
      </w:pPr>
    </w:p>
    <w:p w14:paraId="57EFF854" w14:textId="19AFABDF" w:rsidR="00B36B1B" w:rsidRDefault="009E6883" w:rsidP="006E6457">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 xml:space="preserve">Government outlook on virtual assets and crypto-related activities </w:t>
      </w:r>
      <w:r w:rsidR="00DD2CD2">
        <w:rPr>
          <w:rFonts w:eastAsia="Times New Roman" w:cstheme="minorHAnsi"/>
          <w:b/>
          <w:lang w:val="en-SG"/>
        </w:rPr>
        <w:t>in Abu Dhabi</w:t>
      </w:r>
    </w:p>
    <w:p w14:paraId="4B15FBCF" w14:textId="77777777" w:rsidR="00B36B1B" w:rsidRDefault="00B36B1B" w:rsidP="006E6457">
      <w:pPr>
        <w:spacing w:after="0" w:line="240" w:lineRule="auto"/>
        <w:ind w:left="360"/>
        <w:jc w:val="both"/>
        <w:rPr>
          <w:rFonts w:eastAsia="Times New Roman" w:cstheme="minorHAnsi"/>
          <w:b/>
          <w:lang w:val="en-SG"/>
        </w:rPr>
      </w:pPr>
    </w:p>
    <w:p w14:paraId="7F3CCD17" w14:textId="77777777" w:rsidR="00851A88" w:rsidRDefault="00851A88" w:rsidP="006E6457">
      <w:pPr>
        <w:spacing w:after="0" w:line="240" w:lineRule="auto"/>
        <w:ind w:left="360"/>
        <w:jc w:val="both"/>
        <w:rPr>
          <w:rFonts w:eastAsia="Times New Roman" w:cstheme="minorHAnsi"/>
          <w:bCs/>
        </w:rPr>
      </w:pPr>
      <w:r w:rsidRPr="00851A88">
        <w:rPr>
          <w:rFonts w:eastAsia="Times New Roman" w:cstheme="minorHAnsi"/>
          <w:bCs/>
        </w:rPr>
        <w:t>The Abu Dhabi government has implemented strategic measures to regulate virtual currencies, notably through the establishment of the ADGM. Operating as a financial free zone with an autonomous regulatory framework under common law, the ADGM is designed to cultivate a regulatory environment conducive to the growth of the fintech industry, fostering innovation while upholding market integrity.</w:t>
      </w:r>
    </w:p>
    <w:p w14:paraId="4FDF5D20" w14:textId="77777777" w:rsidR="00921040" w:rsidRPr="00851A88" w:rsidRDefault="00921040" w:rsidP="006E6457">
      <w:pPr>
        <w:spacing w:after="0" w:line="240" w:lineRule="auto"/>
        <w:ind w:left="360"/>
        <w:jc w:val="both"/>
        <w:rPr>
          <w:rFonts w:eastAsia="Times New Roman" w:cstheme="minorHAnsi"/>
          <w:bCs/>
        </w:rPr>
      </w:pPr>
    </w:p>
    <w:p w14:paraId="5A94F48C" w14:textId="77777777" w:rsidR="00851A88" w:rsidRDefault="00851A88" w:rsidP="006E6457">
      <w:pPr>
        <w:spacing w:after="0" w:line="240" w:lineRule="auto"/>
        <w:ind w:left="360"/>
        <w:jc w:val="both"/>
        <w:rPr>
          <w:rFonts w:eastAsia="Times New Roman" w:cstheme="minorHAnsi"/>
          <w:bCs/>
        </w:rPr>
      </w:pPr>
      <w:r w:rsidRPr="00851A88">
        <w:rPr>
          <w:rFonts w:eastAsia="Times New Roman" w:cstheme="minorHAnsi"/>
          <w:bCs/>
        </w:rPr>
        <w:lastRenderedPageBreak/>
        <w:t>In 2018, the ADGM introduced regulatory frameworks governing cryptocurrencies and initial coin offerings (</w:t>
      </w:r>
      <w:r w:rsidRPr="00851A88">
        <w:rPr>
          <w:rFonts w:eastAsia="Times New Roman" w:cstheme="minorHAnsi"/>
          <w:b/>
          <w:bCs/>
        </w:rPr>
        <w:t>ICOs</w:t>
      </w:r>
      <w:r w:rsidRPr="00851A88">
        <w:rPr>
          <w:rFonts w:eastAsia="Times New Roman" w:cstheme="minorHAnsi"/>
          <w:bCs/>
        </w:rPr>
        <w:t>). These frameworks highlight the market infrastructure supporting cryptocurrencies, including exchanges, intermediaries, and custodians. Criteria for ICO issuers, encompassing disclosure requirements and obligations related to anti-money laundering and counter-terrorist financing, were also established.</w:t>
      </w:r>
    </w:p>
    <w:p w14:paraId="10FF8BC8" w14:textId="77777777" w:rsidR="00851A88" w:rsidRPr="00851A88" w:rsidRDefault="00851A88" w:rsidP="006E6457">
      <w:pPr>
        <w:spacing w:after="0" w:line="240" w:lineRule="auto"/>
        <w:ind w:left="360"/>
        <w:jc w:val="both"/>
        <w:rPr>
          <w:rFonts w:eastAsia="Times New Roman" w:cstheme="minorHAnsi"/>
          <w:bCs/>
        </w:rPr>
      </w:pPr>
    </w:p>
    <w:p w14:paraId="1F768F2E" w14:textId="77777777" w:rsidR="00851A88" w:rsidRDefault="00851A88" w:rsidP="006E6457">
      <w:pPr>
        <w:spacing w:after="0" w:line="240" w:lineRule="auto"/>
        <w:ind w:left="360"/>
        <w:jc w:val="both"/>
        <w:rPr>
          <w:rFonts w:eastAsia="Times New Roman" w:cstheme="minorHAnsi"/>
          <w:bCs/>
        </w:rPr>
      </w:pPr>
      <w:r w:rsidRPr="00851A88">
        <w:rPr>
          <w:rFonts w:eastAsia="Times New Roman" w:cstheme="minorHAnsi"/>
          <w:bCs/>
        </w:rPr>
        <w:t>Furthermore, the ADGM initiated a regulatory sandbox in 2019, providing a controlled environment for fintech companies to test innovative ideas and products. This platform facilitates the exploration of regulatory implications and new business models.</w:t>
      </w:r>
    </w:p>
    <w:p w14:paraId="0643AA31" w14:textId="77777777" w:rsidR="00851A88" w:rsidRPr="00851A88" w:rsidRDefault="00851A88" w:rsidP="006E6457">
      <w:pPr>
        <w:spacing w:after="0" w:line="240" w:lineRule="auto"/>
        <w:ind w:left="360"/>
        <w:jc w:val="both"/>
        <w:rPr>
          <w:rFonts w:eastAsia="Times New Roman" w:cstheme="minorHAnsi"/>
          <w:bCs/>
        </w:rPr>
      </w:pPr>
    </w:p>
    <w:p w14:paraId="613FC82C" w14:textId="64A18C3C" w:rsidR="00B36B1B" w:rsidRDefault="00851A88" w:rsidP="006E6457">
      <w:pPr>
        <w:spacing w:after="0" w:line="240" w:lineRule="auto"/>
        <w:ind w:left="360"/>
        <w:jc w:val="both"/>
        <w:rPr>
          <w:rFonts w:eastAsia="Times New Roman" w:cstheme="minorHAnsi"/>
          <w:bCs/>
        </w:rPr>
      </w:pPr>
      <w:r w:rsidRPr="00851A88">
        <w:rPr>
          <w:rFonts w:eastAsia="Times New Roman" w:cstheme="minorHAnsi"/>
          <w:bCs/>
        </w:rPr>
        <w:t>Abu Dhabi's collaboration with the International Monetary Fund (</w:t>
      </w:r>
      <w:hyperlink r:id="rId45" w:history="1">
        <w:r w:rsidRPr="00851A88">
          <w:rPr>
            <w:rStyle w:val="Hyperlink"/>
            <w:rFonts w:eastAsia="Times New Roman" w:cstheme="minorHAnsi"/>
            <w:b/>
            <w:bCs/>
            <w:color w:val="FF6E00"/>
            <w:u w:val="none"/>
          </w:rPr>
          <w:t>IMF</w:t>
        </w:r>
      </w:hyperlink>
      <w:r w:rsidRPr="00851A88">
        <w:rPr>
          <w:rFonts w:eastAsia="Times New Roman" w:cstheme="minorHAnsi"/>
          <w:bCs/>
        </w:rPr>
        <w:t xml:space="preserve">) to establish a fintech center of excellence is a noteworthy endeavor. This center serves as an </w:t>
      </w:r>
      <w:proofErr w:type="gramStart"/>
      <w:r w:rsidRPr="00851A88">
        <w:rPr>
          <w:rFonts w:eastAsia="Times New Roman" w:cstheme="minorHAnsi"/>
          <w:bCs/>
        </w:rPr>
        <w:t>innovation</w:t>
      </w:r>
      <w:proofErr w:type="gramEnd"/>
      <w:r w:rsidRPr="00851A88">
        <w:rPr>
          <w:rFonts w:eastAsia="Times New Roman" w:cstheme="minorHAnsi"/>
          <w:bCs/>
        </w:rPr>
        <w:t xml:space="preserve"> hub for the fintech industry, offering global advice and developing policies to encourage the adoption of new technology in the financial sector.</w:t>
      </w:r>
    </w:p>
    <w:p w14:paraId="7CA37B00" w14:textId="77777777" w:rsidR="0028403B" w:rsidRPr="00B36B1B" w:rsidRDefault="0028403B" w:rsidP="006E6457">
      <w:pPr>
        <w:spacing w:after="0" w:line="240" w:lineRule="auto"/>
        <w:jc w:val="both"/>
        <w:rPr>
          <w:rFonts w:eastAsia="Times New Roman" w:cstheme="minorHAnsi"/>
          <w:b/>
          <w:lang w:val="en-SG"/>
        </w:rPr>
      </w:pPr>
    </w:p>
    <w:p w14:paraId="6D1BD6FA" w14:textId="48326B89" w:rsidR="007F43B2" w:rsidRDefault="009E6883" w:rsidP="006E6457">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 xml:space="preserve">Advantages of setting up a VASP </w:t>
      </w:r>
      <w:r w:rsidR="00DD2CD2">
        <w:rPr>
          <w:rFonts w:eastAsia="Times New Roman" w:cstheme="minorHAnsi"/>
          <w:b/>
          <w:lang w:val="en-SG"/>
        </w:rPr>
        <w:t>in Abu Dhabi</w:t>
      </w:r>
    </w:p>
    <w:p w14:paraId="4F9EC035" w14:textId="77777777" w:rsidR="00B36B1B" w:rsidRDefault="00B36B1B" w:rsidP="006E6457">
      <w:pPr>
        <w:spacing w:after="0" w:line="240" w:lineRule="auto"/>
        <w:jc w:val="both"/>
        <w:rPr>
          <w:rFonts w:eastAsia="Times New Roman" w:cstheme="minorHAnsi"/>
          <w:b/>
          <w:lang w:val="en-SG"/>
        </w:rPr>
      </w:pPr>
    </w:p>
    <w:p w14:paraId="3C83781B" w14:textId="77777777" w:rsidR="0012048D" w:rsidRDefault="0012048D" w:rsidP="006E6457">
      <w:pPr>
        <w:spacing w:after="0" w:line="240" w:lineRule="auto"/>
        <w:ind w:left="360"/>
        <w:jc w:val="both"/>
        <w:rPr>
          <w:rFonts w:eastAsia="Times New Roman"/>
          <w:iCs/>
        </w:rPr>
      </w:pPr>
      <w:r w:rsidRPr="0012048D">
        <w:rPr>
          <w:rFonts w:eastAsia="Times New Roman"/>
          <w:iCs/>
        </w:rPr>
        <w:t xml:space="preserve">Abu Dhabi's government has crafted a supportive regulatory environment for fintech companies. This environment emphasises investor protection, market integrity, and financial stability. Abu Dhabi's collaboration with the IMF in the establishment of a fintech center of excellence is a noteworthy endeavor. This center serves as an </w:t>
      </w:r>
      <w:proofErr w:type="gramStart"/>
      <w:r w:rsidRPr="0012048D">
        <w:rPr>
          <w:rFonts w:eastAsia="Times New Roman"/>
          <w:iCs/>
        </w:rPr>
        <w:t>innovation</w:t>
      </w:r>
      <w:proofErr w:type="gramEnd"/>
      <w:r w:rsidRPr="0012048D">
        <w:rPr>
          <w:rFonts w:eastAsia="Times New Roman"/>
          <w:iCs/>
        </w:rPr>
        <w:t xml:space="preserve"> hub for the fintech industry, offering global advice and developing policies to encourage the adoption of new technology in the financial sector. </w:t>
      </w:r>
    </w:p>
    <w:p w14:paraId="6BCB213B" w14:textId="77777777" w:rsidR="0012048D" w:rsidRPr="0012048D" w:rsidRDefault="0012048D" w:rsidP="006E6457">
      <w:pPr>
        <w:spacing w:after="0" w:line="240" w:lineRule="auto"/>
        <w:ind w:left="360"/>
        <w:jc w:val="both"/>
        <w:rPr>
          <w:rFonts w:eastAsia="Times New Roman"/>
          <w:iCs/>
        </w:rPr>
      </w:pPr>
    </w:p>
    <w:p w14:paraId="282E387F" w14:textId="0AEE3A63" w:rsidR="001760EA" w:rsidRDefault="0012048D" w:rsidP="00C05602">
      <w:pPr>
        <w:spacing w:after="0" w:line="240" w:lineRule="auto"/>
        <w:ind w:left="360"/>
        <w:jc w:val="both"/>
        <w:rPr>
          <w:rFonts w:eastAsia="Times New Roman"/>
          <w:iCs/>
        </w:rPr>
      </w:pPr>
      <w:r w:rsidRPr="0012048D">
        <w:rPr>
          <w:rFonts w:eastAsia="Times New Roman"/>
          <w:iCs/>
        </w:rPr>
        <w:t>Moreover, Abu Dhabi offers a developed infrastructure, a conducive business environment, and a strategic location between East and West, facilitating global market access for businesses. The region's substantial investments in technological innovation and digital transformation initiatives are advantageous for fintech companies. Abu Dhabi's financial services industry, with leading institutions, asset managers, and investment firms, provides an extensive network of potential partners and customers for VASPs in the region.</w:t>
      </w:r>
    </w:p>
    <w:p w14:paraId="6DEB5DDE" w14:textId="77777777" w:rsidR="00593B2E" w:rsidRDefault="00593B2E" w:rsidP="00C05602">
      <w:pPr>
        <w:spacing w:after="0" w:line="240" w:lineRule="auto"/>
        <w:ind w:left="360"/>
        <w:jc w:val="both"/>
        <w:rPr>
          <w:rFonts w:eastAsia="Times New Roman"/>
          <w:iCs/>
        </w:rPr>
      </w:pPr>
    </w:p>
    <w:p w14:paraId="4DC87319" w14:textId="77777777" w:rsidR="00593B2E" w:rsidRDefault="00593B2E" w:rsidP="00C05602">
      <w:pPr>
        <w:spacing w:after="0" w:line="240" w:lineRule="auto"/>
        <w:ind w:left="360"/>
        <w:jc w:val="both"/>
        <w:rPr>
          <w:rFonts w:eastAsia="Times New Roman"/>
          <w:iCs/>
        </w:rPr>
      </w:pPr>
    </w:p>
    <w:p w14:paraId="41F6FF15" w14:textId="77777777" w:rsidR="00593B2E" w:rsidRDefault="00593B2E" w:rsidP="00C05602">
      <w:pPr>
        <w:spacing w:after="0" w:line="240" w:lineRule="auto"/>
        <w:ind w:left="360"/>
        <w:jc w:val="both"/>
        <w:rPr>
          <w:rFonts w:eastAsia="Times New Roman"/>
          <w:iCs/>
        </w:rPr>
      </w:pPr>
    </w:p>
    <w:p w14:paraId="3330C757" w14:textId="77777777" w:rsidR="00593B2E" w:rsidRDefault="00593B2E" w:rsidP="00C05602">
      <w:pPr>
        <w:spacing w:after="0" w:line="240" w:lineRule="auto"/>
        <w:ind w:left="360"/>
        <w:jc w:val="both"/>
        <w:rPr>
          <w:rFonts w:eastAsia="Times New Roman"/>
          <w:iCs/>
        </w:rPr>
      </w:pPr>
    </w:p>
    <w:p w14:paraId="764C75A8" w14:textId="77777777" w:rsidR="00593B2E" w:rsidRDefault="00593B2E" w:rsidP="00C05602">
      <w:pPr>
        <w:spacing w:after="0" w:line="240" w:lineRule="auto"/>
        <w:ind w:left="360"/>
        <w:jc w:val="both"/>
        <w:rPr>
          <w:rFonts w:eastAsia="Times New Roman"/>
          <w:iCs/>
        </w:rPr>
      </w:pPr>
    </w:p>
    <w:p w14:paraId="3E95AD60" w14:textId="77777777" w:rsidR="00593B2E" w:rsidRDefault="00593B2E" w:rsidP="00C05602">
      <w:pPr>
        <w:spacing w:after="0" w:line="240" w:lineRule="auto"/>
        <w:ind w:left="360"/>
        <w:jc w:val="both"/>
        <w:rPr>
          <w:rFonts w:eastAsia="Times New Roman"/>
          <w:iCs/>
        </w:rPr>
      </w:pPr>
    </w:p>
    <w:p w14:paraId="37AE4E15" w14:textId="77777777" w:rsidR="00593B2E" w:rsidRDefault="00593B2E" w:rsidP="00C05602">
      <w:pPr>
        <w:spacing w:after="0" w:line="240" w:lineRule="auto"/>
        <w:ind w:left="360"/>
        <w:jc w:val="both"/>
        <w:rPr>
          <w:rFonts w:eastAsia="Times New Roman"/>
          <w:iCs/>
        </w:rPr>
      </w:pPr>
    </w:p>
    <w:p w14:paraId="681FFAF0" w14:textId="77777777" w:rsidR="00593B2E" w:rsidRDefault="00593B2E" w:rsidP="00C05602">
      <w:pPr>
        <w:spacing w:after="0" w:line="240" w:lineRule="auto"/>
        <w:ind w:left="360"/>
        <w:jc w:val="both"/>
        <w:rPr>
          <w:rFonts w:eastAsia="Times New Roman"/>
          <w:iCs/>
        </w:rPr>
      </w:pPr>
    </w:p>
    <w:p w14:paraId="2073F313" w14:textId="77777777" w:rsidR="00593B2E" w:rsidRDefault="00593B2E" w:rsidP="00C05602">
      <w:pPr>
        <w:spacing w:after="0" w:line="240" w:lineRule="auto"/>
        <w:ind w:left="360"/>
        <w:jc w:val="both"/>
        <w:rPr>
          <w:rFonts w:eastAsia="Times New Roman"/>
          <w:iCs/>
        </w:rPr>
      </w:pPr>
    </w:p>
    <w:p w14:paraId="24979845" w14:textId="77777777" w:rsidR="00593B2E" w:rsidRDefault="00593B2E" w:rsidP="00C05602">
      <w:pPr>
        <w:spacing w:after="0" w:line="240" w:lineRule="auto"/>
        <w:ind w:left="360"/>
        <w:jc w:val="both"/>
        <w:rPr>
          <w:rFonts w:eastAsia="Times New Roman"/>
          <w:iCs/>
        </w:rPr>
      </w:pPr>
    </w:p>
    <w:p w14:paraId="6E8505C8" w14:textId="77777777" w:rsidR="00593B2E" w:rsidRDefault="00593B2E" w:rsidP="00C05602">
      <w:pPr>
        <w:spacing w:after="0" w:line="240" w:lineRule="auto"/>
        <w:ind w:left="360"/>
        <w:jc w:val="both"/>
        <w:rPr>
          <w:rFonts w:eastAsia="Times New Roman"/>
          <w:iCs/>
        </w:rPr>
      </w:pPr>
    </w:p>
    <w:p w14:paraId="112909C2" w14:textId="77777777" w:rsidR="00593B2E" w:rsidRDefault="00593B2E" w:rsidP="00C05602">
      <w:pPr>
        <w:spacing w:after="0" w:line="240" w:lineRule="auto"/>
        <w:ind w:left="360"/>
        <w:jc w:val="both"/>
        <w:rPr>
          <w:rFonts w:eastAsia="Times New Roman"/>
          <w:iCs/>
        </w:rPr>
      </w:pPr>
    </w:p>
    <w:p w14:paraId="28FA6CDD" w14:textId="77777777" w:rsidR="00593B2E" w:rsidRDefault="00593B2E" w:rsidP="00C05602">
      <w:pPr>
        <w:spacing w:after="0" w:line="240" w:lineRule="auto"/>
        <w:ind w:left="360"/>
        <w:jc w:val="both"/>
        <w:rPr>
          <w:rFonts w:eastAsia="Times New Roman"/>
          <w:iCs/>
        </w:rPr>
      </w:pPr>
    </w:p>
    <w:p w14:paraId="6B88B3FE" w14:textId="77777777" w:rsidR="00593B2E" w:rsidRDefault="00593B2E" w:rsidP="00C05602">
      <w:pPr>
        <w:spacing w:after="0" w:line="240" w:lineRule="auto"/>
        <w:ind w:left="360"/>
        <w:jc w:val="both"/>
        <w:rPr>
          <w:rFonts w:eastAsia="Times New Roman"/>
          <w:iCs/>
        </w:rPr>
      </w:pPr>
    </w:p>
    <w:p w14:paraId="735770D0" w14:textId="77777777" w:rsidR="00593B2E" w:rsidRDefault="00593B2E" w:rsidP="00C05602">
      <w:pPr>
        <w:spacing w:after="0" w:line="240" w:lineRule="auto"/>
        <w:ind w:left="360"/>
        <w:jc w:val="both"/>
        <w:rPr>
          <w:rFonts w:eastAsia="Times New Roman"/>
          <w:iCs/>
        </w:rPr>
      </w:pPr>
    </w:p>
    <w:p w14:paraId="34C98D24" w14:textId="77777777" w:rsidR="00593B2E" w:rsidRDefault="00593B2E" w:rsidP="00C05602">
      <w:pPr>
        <w:spacing w:after="0" w:line="240" w:lineRule="auto"/>
        <w:ind w:left="360"/>
        <w:jc w:val="both"/>
        <w:rPr>
          <w:rFonts w:eastAsia="Times New Roman"/>
          <w:iCs/>
        </w:rPr>
      </w:pPr>
    </w:p>
    <w:p w14:paraId="191AFB83" w14:textId="77777777" w:rsidR="00593B2E" w:rsidRDefault="00593B2E" w:rsidP="00C05602">
      <w:pPr>
        <w:spacing w:after="0" w:line="240" w:lineRule="auto"/>
        <w:ind w:left="360"/>
        <w:jc w:val="both"/>
        <w:rPr>
          <w:rFonts w:eastAsia="Times New Roman"/>
          <w:iCs/>
        </w:rPr>
      </w:pPr>
    </w:p>
    <w:p w14:paraId="2854D893" w14:textId="77777777" w:rsidR="00593B2E" w:rsidRDefault="00593B2E" w:rsidP="00C05602">
      <w:pPr>
        <w:spacing w:after="0" w:line="240" w:lineRule="auto"/>
        <w:ind w:left="360"/>
        <w:jc w:val="both"/>
        <w:rPr>
          <w:rFonts w:eastAsia="Times New Roman"/>
          <w:iCs/>
        </w:rPr>
      </w:pPr>
    </w:p>
    <w:p w14:paraId="60CC9DD6" w14:textId="77777777" w:rsidR="00AF48C0" w:rsidRPr="00C05602" w:rsidRDefault="00AF48C0" w:rsidP="00C05602">
      <w:pPr>
        <w:spacing w:after="0" w:line="240" w:lineRule="auto"/>
        <w:ind w:left="360"/>
        <w:jc w:val="both"/>
        <w:rPr>
          <w:rFonts w:eastAsia="Times New Roman"/>
          <w:iCs/>
        </w:rPr>
      </w:pPr>
    </w:p>
    <w:p w14:paraId="42F4BFC3" w14:textId="77777777" w:rsidR="00EA3440" w:rsidRDefault="00EA3440" w:rsidP="007536C4">
      <w:pPr>
        <w:pStyle w:val="Disclaimer"/>
        <w:spacing w:before="0" w:after="0"/>
        <w:rPr>
          <w:rFonts w:ascii="Arial" w:hAnsi="Arial" w:cs="Arial"/>
          <w:b/>
          <w:bCs/>
          <w:sz w:val="22"/>
          <w:szCs w:val="22"/>
        </w:rPr>
      </w:pPr>
      <w:r w:rsidRPr="00057737">
        <w:rPr>
          <w:rFonts w:ascii="Arial" w:hAnsi="Arial" w:cs="Arial"/>
          <w:b/>
          <w:bCs/>
          <w:sz w:val="22"/>
          <w:szCs w:val="22"/>
        </w:rPr>
        <w:lastRenderedPageBreak/>
        <w:t>Disclaimer</w:t>
      </w:r>
    </w:p>
    <w:p w14:paraId="675702FD" w14:textId="77777777" w:rsidR="007536C4" w:rsidRPr="00057737" w:rsidRDefault="007536C4" w:rsidP="007536C4">
      <w:pPr>
        <w:pStyle w:val="Disclaimer"/>
        <w:spacing w:before="0" w:after="0"/>
        <w:rPr>
          <w:rFonts w:ascii="Arial" w:hAnsi="Arial" w:cs="Arial"/>
          <w:b/>
          <w:bCs/>
          <w:sz w:val="22"/>
          <w:szCs w:val="22"/>
        </w:rPr>
      </w:pPr>
    </w:p>
    <w:p w14:paraId="426D6D70"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717C4527" w14:textId="77777777" w:rsidR="007536C4" w:rsidRPr="00057737" w:rsidRDefault="007536C4" w:rsidP="007536C4">
      <w:pPr>
        <w:pStyle w:val="Disclaimer"/>
        <w:spacing w:before="0" w:after="0"/>
        <w:rPr>
          <w:rFonts w:ascii="Arial" w:hAnsi="Arial" w:cs="Arial"/>
          <w:sz w:val="22"/>
          <w:szCs w:val="22"/>
        </w:rPr>
      </w:pPr>
    </w:p>
    <w:p w14:paraId="7B0C341B"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10086489" w14:textId="77777777" w:rsidR="007536C4" w:rsidRPr="00057737" w:rsidRDefault="007536C4" w:rsidP="007536C4">
      <w:pPr>
        <w:pStyle w:val="Disclaimer"/>
        <w:spacing w:before="0" w:after="0"/>
        <w:rPr>
          <w:rFonts w:ascii="Arial" w:hAnsi="Arial" w:cs="Arial"/>
          <w:sz w:val="22"/>
          <w:szCs w:val="22"/>
        </w:rPr>
      </w:pPr>
    </w:p>
    <w:p w14:paraId="1E37E885"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 xml:space="preserve">Any reliance you place on this information is strictly at your own risk. We disclaim all liability arising from any reliance placed on these materials by you or any other visitor to this guide. Under no circumstances shall we be liable for any loss or damage incurred </w:t>
      </w:r>
      <w:proofErr w:type="gramStart"/>
      <w:r w:rsidRPr="00057737">
        <w:rPr>
          <w:rFonts w:ascii="Arial" w:hAnsi="Arial" w:cs="Arial"/>
          <w:sz w:val="22"/>
          <w:szCs w:val="22"/>
        </w:rPr>
        <w:t>as a result of</w:t>
      </w:r>
      <w:proofErr w:type="gramEnd"/>
      <w:r w:rsidRPr="00057737">
        <w:rPr>
          <w:rFonts w:ascii="Arial" w:hAnsi="Arial" w:cs="Arial"/>
          <w:sz w:val="22"/>
          <w:szCs w:val="22"/>
        </w:rPr>
        <w:t xml:space="preserve"> using this guide or relying on the information provided.</w:t>
      </w:r>
    </w:p>
    <w:p w14:paraId="4D012B45" w14:textId="77777777" w:rsidR="007536C4" w:rsidRPr="00057737" w:rsidRDefault="007536C4" w:rsidP="007536C4">
      <w:pPr>
        <w:pStyle w:val="Disclaimer"/>
        <w:spacing w:before="0" w:after="0"/>
        <w:rPr>
          <w:rFonts w:ascii="Arial" w:hAnsi="Arial" w:cs="Arial"/>
          <w:sz w:val="22"/>
          <w:szCs w:val="22"/>
        </w:rPr>
      </w:pPr>
    </w:p>
    <w:p w14:paraId="621A29DF" w14:textId="71D9C987" w:rsidR="0021140B" w:rsidRDefault="00EA3440" w:rsidP="007536C4">
      <w:pPr>
        <w:pStyle w:val="Disclaimer"/>
        <w:spacing w:before="0" w:after="0"/>
        <w:rPr>
          <w:rFonts w:ascii="Arial" w:hAnsi="Arial" w:cs="Arial"/>
          <w:sz w:val="22"/>
          <w:szCs w:val="22"/>
        </w:rPr>
      </w:pPr>
      <w:r w:rsidRPr="00057737">
        <w:rPr>
          <w:rFonts w:ascii="Arial" w:hAnsi="Arial" w:cs="Arial"/>
          <w:sz w:val="22"/>
          <w:szCs w:val="22"/>
        </w:rPr>
        <w:t>Your use of this guide and reliance on any information it contains is governed by this disclaimer and our terms of use.</w:t>
      </w:r>
    </w:p>
    <w:p w14:paraId="4BFB9E37" w14:textId="5DE07FF9" w:rsidR="00A57542" w:rsidRPr="00A405AA" w:rsidRDefault="00B4763A" w:rsidP="00A405AA">
      <w:pPr>
        <w:shd w:val="clear" w:color="auto" w:fill="000000"/>
        <w:spacing w:after="200"/>
        <w:jc w:val="center"/>
        <w:rPr>
          <w:rFonts w:ascii="Arial" w:eastAsia="Cambria" w:hAnsi="Arial" w:cs="Arial"/>
          <w:color w:val="FFFFFF"/>
          <w:lang w:val="en-GB"/>
        </w:rPr>
      </w:pPr>
      <w:bookmarkStart w:id="1" w:name="_Hlk171091278"/>
      <w:r w:rsidRPr="002A32F6">
        <w:rPr>
          <w:rFonts w:ascii="Arial" w:hAnsi="Arial" w:cs="Arial"/>
          <w:lang w:val="en-GB"/>
        </w:rPr>
        <w:t>Charltons</w:t>
      </w:r>
      <w:r w:rsidR="00840613" w:rsidRPr="002A32F6">
        <w:rPr>
          <w:rFonts w:ascii="Arial" w:hAnsi="Arial" w:cs="Arial"/>
          <w:lang w:val="en-GB"/>
        </w:rPr>
        <w:t xml:space="preserve"> Quantum</w:t>
      </w:r>
      <w:r w:rsidR="00496C17">
        <w:rPr>
          <w:rFonts w:ascii="Arial" w:hAnsi="Arial" w:cs="Arial"/>
          <w:lang w:val="en-GB"/>
        </w:rPr>
        <w:t xml:space="preserve"> </w:t>
      </w:r>
      <w:r w:rsidR="00840613" w:rsidRPr="002A32F6">
        <w:rPr>
          <w:rFonts w:ascii="Arial" w:hAnsi="Arial" w:cs="Arial"/>
          <w:lang w:val="en-GB"/>
        </w:rPr>
        <w:t>–</w:t>
      </w:r>
      <w:r w:rsidR="00496C17">
        <w:rPr>
          <w:rFonts w:ascii="Arial" w:hAnsi="Arial" w:cs="Arial"/>
          <w:lang w:val="en-GB"/>
        </w:rPr>
        <w:t xml:space="preserve"> </w:t>
      </w:r>
      <w:r w:rsidR="0021140B">
        <w:rPr>
          <w:rFonts w:ascii="Arial" w:hAnsi="Arial" w:cs="Arial"/>
          <w:lang w:val="en-GB"/>
        </w:rPr>
        <w:t>Crypto Guide</w:t>
      </w:r>
      <w:r w:rsidR="00840613" w:rsidRPr="002A32F6">
        <w:rPr>
          <w:rFonts w:ascii="Arial" w:hAnsi="Arial" w:cs="Arial"/>
          <w:lang w:val="en-GB"/>
        </w:rPr>
        <w:t xml:space="preserve"> </w:t>
      </w:r>
      <w:r w:rsidRPr="002A32F6">
        <w:rPr>
          <w:rFonts w:ascii="Arial" w:hAnsi="Arial" w:cs="Arial"/>
          <w:lang w:val="en-GB"/>
        </w:rPr>
        <w:t xml:space="preserve">– </w:t>
      </w:r>
      <w:bookmarkEnd w:id="1"/>
      <w:r w:rsidR="00DD2CD2" w:rsidRPr="00DD2CD2">
        <w:rPr>
          <w:rFonts w:ascii="Arial" w:eastAsia="Cambria" w:hAnsi="Arial" w:cs="Arial"/>
          <w:color w:val="FFFFFF"/>
        </w:rPr>
        <w:t>Abu Dhabi</w:t>
      </w:r>
      <w:r w:rsidR="00C95639" w:rsidRPr="008A7848">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3375B3">
        <w:rPr>
          <w:rFonts w:ascii="Arial" w:eastAsia="Cambria" w:hAnsi="Arial" w:cs="Arial"/>
          <w:color w:val="FFFFFF"/>
          <w:lang w:val="en-GB"/>
        </w:rPr>
        <w:t>Sep</w:t>
      </w:r>
      <w:r w:rsidR="00A405AA">
        <w:rPr>
          <w:rFonts w:ascii="Arial" w:eastAsia="Cambria" w:hAnsi="Arial" w:cs="Arial"/>
          <w:color w:val="FFFFFF"/>
          <w:lang w:val="en-GB"/>
        </w:rPr>
        <w:t xml:space="preserve"> 2024</w:t>
      </w:r>
    </w:p>
    <w:sectPr w:rsidR="00A57542" w:rsidRPr="00A405AA" w:rsidSect="00D12396">
      <w:headerReference w:type="even" r:id="rId46"/>
      <w:headerReference w:type="default" r:id="rId47"/>
      <w:footerReference w:type="even" r:id="rId48"/>
      <w:footerReference w:type="default" r:id="rId49"/>
      <w:headerReference w:type="first" r:id="rId50"/>
      <w:footerReference w:type="first" r:id="rId5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79162" w14:textId="77777777" w:rsidR="0021691F" w:rsidRDefault="0021691F" w:rsidP="005A6CCC">
      <w:pPr>
        <w:spacing w:after="0" w:line="240" w:lineRule="auto"/>
      </w:pPr>
      <w:r>
        <w:separator/>
      </w:r>
    </w:p>
  </w:endnote>
  <w:endnote w:type="continuationSeparator" w:id="0">
    <w:p w14:paraId="7E587FE2" w14:textId="77777777" w:rsidR="0021691F" w:rsidRDefault="0021691F"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9D3E" w14:textId="77777777" w:rsidR="005A6CCC" w:rsidRDefault="005A6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6740583"/>
      <w:docPartObj>
        <w:docPartGallery w:val="Page Numbers (Bottom of Page)"/>
        <w:docPartUnique/>
      </w:docPartObj>
    </w:sdtPr>
    <w:sdtEndPr>
      <w:rPr>
        <w:noProof/>
      </w:rPr>
    </w:sdtEndPr>
    <w:sdtContent>
      <w:p w14:paraId="50C06F34" w14:textId="206FA765" w:rsidR="005A6CCC" w:rsidRDefault="005A6C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D5A374" w14:textId="77777777" w:rsidR="005A6CCC" w:rsidRDefault="005A6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F4668" w14:textId="77777777" w:rsidR="0021691F" w:rsidRDefault="0021691F" w:rsidP="005A6CCC">
      <w:pPr>
        <w:spacing w:after="0" w:line="240" w:lineRule="auto"/>
      </w:pPr>
      <w:r>
        <w:separator/>
      </w:r>
    </w:p>
  </w:footnote>
  <w:footnote w:type="continuationSeparator" w:id="0">
    <w:p w14:paraId="3F3FA6E0" w14:textId="77777777" w:rsidR="0021691F" w:rsidRDefault="0021691F"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5F53" w14:textId="77777777" w:rsidR="005A6CCC" w:rsidRDefault="005A6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F4B1" w14:textId="77777777" w:rsidR="005A6CCC" w:rsidRDefault="005A6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451EF"/>
    <w:multiLevelType w:val="hybridMultilevel"/>
    <w:tmpl w:val="00AC31F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46C4C27"/>
    <w:multiLevelType w:val="hybridMultilevel"/>
    <w:tmpl w:val="51F0BA9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3"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8C056E9"/>
    <w:multiLevelType w:val="hybridMultilevel"/>
    <w:tmpl w:val="F3627A7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 w15:restartNumberingAfterBreak="0">
    <w:nsid w:val="08CA6F6E"/>
    <w:multiLevelType w:val="hybridMultilevel"/>
    <w:tmpl w:val="233055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09053D7F"/>
    <w:multiLevelType w:val="hybridMultilevel"/>
    <w:tmpl w:val="E2E63BA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0A3B2376"/>
    <w:multiLevelType w:val="hybridMultilevel"/>
    <w:tmpl w:val="850EC8F2"/>
    <w:lvl w:ilvl="0" w:tplc="FFFFFFFF">
      <w:start w:val="1"/>
      <w:numFmt w:val="lowerRoman"/>
      <w:lvlText w:val="%1."/>
      <w:lvlJc w:val="right"/>
      <w:pPr>
        <w:ind w:left="900" w:hanging="360"/>
      </w:pPr>
    </w:lvl>
    <w:lvl w:ilvl="1" w:tplc="0409001B">
      <w:start w:val="1"/>
      <w:numFmt w:val="lowerRoman"/>
      <w:lvlText w:val="%2."/>
      <w:lvlJc w:val="right"/>
      <w:pPr>
        <w:ind w:left="900" w:hanging="360"/>
      </w:pPr>
    </w:lvl>
    <w:lvl w:ilvl="2" w:tplc="A2F2BD94">
      <w:start w:val="1"/>
      <w:numFmt w:val="lowerRoman"/>
      <w:lvlText w:val="(%3)"/>
      <w:lvlJc w:val="left"/>
      <w:pPr>
        <w:ind w:left="2880" w:hanging="72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9" w15:restartNumberingAfterBreak="0">
    <w:nsid w:val="0B097F35"/>
    <w:multiLevelType w:val="hybridMultilevel"/>
    <w:tmpl w:val="C9C2C08C"/>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10" w15:restartNumberingAfterBreak="0">
    <w:nsid w:val="0B7A04E6"/>
    <w:multiLevelType w:val="hybridMultilevel"/>
    <w:tmpl w:val="5CAA46C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 w15:restartNumberingAfterBreak="0">
    <w:nsid w:val="0B9161D8"/>
    <w:multiLevelType w:val="hybridMultilevel"/>
    <w:tmpl w:val="D4E2959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2" w15:restartNumberingAfterBreak="0">
    <w:nsid w:val="0BE76055"/>
    <w:multiLevelType w:val="hybridMultilevel"/>
    <w:tmpl w:val="A1ACB940"/>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0BEC1F43"/>
    <w:multiLevelType w:val="hybridMultilevel"/>
    <w:tmpl w:val="3F9C97BC"/>
    <w:lvl w:ilvl="0" w:tplc="08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0BF557B6"/>
    <w:multiLevelType w:val="hybridMultilevel"/>
    <w:tmpl w:val="59A0E18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C7C3347"/>
    <w:multiLevelType w:val="hybridMultilevel"/>
    <w:tmpl w:val="BE36A98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CB37397"/>
    <w:multiLevelType w:val="hybridMultilevel"/>
    <w:tmpl w:val="538C982A"/>
    <w:lvl w:ilvl="0" w:tplc="04090001">
      <w:start w:val="1"/>
      <w:numFmt w:val="bullet"/>
      <w:lvlText w:val=""/>
      <w:lvlJc w:val="left"/>
      <w:pPr>
        <w:ind w:left="-4860" w:hanging="360"/>
      </w:pPr>
      <w:rPr>
        <w:rFonts w:ascii="Symbol" w:hAnsi="Symbol" w:hint="default"/>
      </w:rPr>
    </w:lvl>
    <w:lvl w:ilvl="1" w:tplc="04090003">
      <w:start w:val="1"/>
      <w:numFmt w:val="bullet"/>
      <w:lvlText w:val="o"/>
      <w:lvlJc w:val="left"/>
      <w:pPr>
        <w:ind w:left="-414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1980" w:hanging="360"/>
      </w:pPr>
      <w:rPr>
        <w:rFonts w:ascii="Courier New" w:hAnsi="Courier New" w:cs="Courier New" w:hint="default"/>
      </w:rPr>
    </w:lvl>
    <w:lvl w:ilvl="5" w:tplc="04090005">
      <w:start w:val="1"/>
      <w:numFmt w:val="bullet"/>
      <w:lvlText w:val=""/>
      <w:lvlJc w:val="left"/>
      <w:pPr>
        <w:ind w:left="-1260" w:hanging="360"/>
      </w:pPr>
      <w:rPr>
        <w:rFonts w:ascii="Wingdings" w:hAnsi="Wingdings" w:hint="default"/>
      </w:rPr>
    </w:lvl>
    <w:lvl w:ilvl="6" w:tplc="04090001">
      <w:start w:val="1"/>
      <w:numFmt w:val="bullet"/>
      <w:lvlText w:val=""/>
      <w:lvlJc w:val="left"/>
      <w:pPr>
        <w:ind w:left="-540" w:hanging="360"/>
      </w:pPr>
      <w:rPr>
        <w:rFonts w:ascii="Symbol" w:hAnsi="Symbol" w:hint="default"/>
      </w:rPr>
    </w:lvl>
    <w:lvl w:ilvl="7" w:tplc="04090003">
      <w:start w:val="1"/>
      <w:numFmt w:val="bullet"/>
      <w:lvlText w:val="o"/>
      <w:lvlJc w:val="left"/>
      <w:pPr>
        <w:ind w:left="180" w:hanging="360"/>
      </w:pPr>
      <w:rPr>
        <w:rFonts w:ascii="Courier New" w:hAnsi="Courier New" w:cs="Courier New" w:hint="default"/>
      </w:rPr>
    </w:lvl>
    <w:lvl w:ilvl="8" w:tplc="04090005">
      <w:start w:val="1"/>
      <w:numFmt w:val="bullet"/>
      <w:lvlText w:val=""/>
      <w:lvlJc w:val="left"/>
      <w:pPr>
        <w:ind w:left="900" w:hanging="360"/>
      </w:pPr>
      <w:rPr>
        <w:rFonts w:ascii="Wingdings" w:hAnsi="Wingdings" w:hint="default"/>
      </w:rPr>
    </w:lvl>
  </w:abstractNum>
  <w:abstractNum w:abstractNumId="17" w15:restartNumberingAfterBreak="0">
    <w:nsid w:val="0D3B45AB"/>
    <w:multiLevelType w:val="hybridMultilevel"/>
    <w:tmpl w:val="C714E72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0EEC21ED"/>
    <w:multiLevelType w:val="hybridMultilevel"/>
    <w:tmpl w:val="78FCF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F956D1B"/>
    <w:multiLevelType w:val="hybridMultilevel"/>
    <w:tmpl w:val="1FE28904"/>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0861D42"/>
    <w:multiLevelType w:val="hybridMultilevel"/>
    <w:tmpl w:val="567C677E"/>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13134D0"/>
    <w:multiLevelType w:val="hybridMultilevel"/>
    <w:tmpl w:val="AF80458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3" w15:restartNumberingAfterBreak="0">
    <w:nsid w:val="11B1706F"/>
    <w:multiLevelType w:val="hybridMultilevel"/>
    <w:tmpl w:val="3E7EBF3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4" w15:restartNumberingAfterBreak="0">
    <w:nsid w:val="123060F5"/>
    <w:multiLevelType w:val="hybridMultilevel"/>
    <w:tmpl w:val="C3E6C14C"/>
    <w:lvl w:ilvl="0" w:tplc="08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6" w15:restartNumberingAfterBreak="0">
    <w:nsid w:val="13E56BC5"/>
    <w:multiLevelType w:val="hybridMultilevel"/>
    <w:tmpl w:val="F4FE412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7"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28" w15:restartNumberingAfterBreak="0">
    <w:nsid w:val="14D43353"/>
    <w:multiLevelType w:val="hybridMultilevel"/>
    <w:tmpl w:val="6B22699A"/>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29" w15:restartNumberingAfterBreak="0">
    <w:nsid w:val="150A53D8"/>
    <w:multiLevelType w:val="hybridMultilevel"/>
    <w:tmpl w:val="9E7C8F7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0" w15:restartNumberingAfterBreak="0">
    <w:nsid w:val="15F50D23"/>
    <w:multiLevelType w:val="hybridMultilevel"/>
    <w:tmpl w:val="1FE03B46"/>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60A354D"/>
    <w:multiLevelType w:val="hybridMultilevel"/>
    <w:tmpl w:val="00785B44"/>
    <w:lvl w:ilvl="0" w:tplc="0809001B">
      <w:start w:val="1"/>
      <w:numFmt w:val="lowerRoman"/>
      <w:lvlText w:val="%1."/>
      <w:lvlJc w:val="righ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32" w15:restartNumberingAfterBreak="0">
    <w:nsid w:val="18B57C0B"/>
    <w:multiLevelType w:val="hybridMultilevel"/>
    <w:tmpl w:val="FE20B1D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3" w15:restartNumberingAfterBreak="0">
    <w:nsid w:val="18B87653"/>
    <w:multiLevelType w:val="hybridMultilevel"/>
    <w:tmpl w:val="98764EAC"/>
    <w:lvl w:ilvl="0" w:tplc="0409001B">
      <w:start w:val="1"/>
      <w:numFmt w:val="lowerRoman"/>
      <w:lvlText w:val="%1."/>
      <w:lvlJc w:val="right"/>
      <w:pPr>
        <w:ind w:left="900" w:hanging="360"/>
      </w:pPr>
    </w:lvl>
    <w:lvl w:ilvl="1" w:tplc="77021500">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5" w15:restartNumberingAfterBreak="0">
    <w:nsid w:val="197A17CB"/>
    <w:multiLevelType w:val="hybridMultilevel"/>
    <w:tmpl w:val="D7F0C4DC"/>
    <w:lvl w:ilvl="0" w:tplc="F69EC026">
      <w:start w:val="1"/>
      <w:numFmt w:val="lowerRoman"/>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A975778"/>
    <w:multiLevelType w:val="hybridMultilevel"/>
    <w:tmpl w:val="A20655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D087728"/>
    <w:multiLevelType w:val="hybridMultilevel"/>
    <w:tmpl w:val="F1FCD11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1DF27C42"/>
    <w:multiLevelType w:val="hybridMultilevel"/>
    <w:tmpl w:val="8F8EE09A"/>
    <w:lvl w:ilvl="0" w:tplc="F69EC02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E4A2D95"/>
    <w:multiLevelType w:val="hybridMultilevel"/>
    <w:tmpl w:val="F21241C6"/>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0" w15:restartNumberingAfterBreak="0">
    <w:nsid w:val="1F7623C9"/>
    <w:multiLevelType w:val="hybridMultilevel"/>
    <w:tmpl w:val="0B9CA934"/>
    <w:lvl w:ilvl="0" w:tplc="278230D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1" w15:restartNumberingAfterBreak="0">
    <w:nsid w:val="235A657C"/>
    <w:multiLevelType w:val="hybridMultilevel"/>
    <w:tmpl w:val="48E87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2" w15:restartNumberingAfterBreak="0">
    <w:nsid w:val="2360509A"/>
    <w:multiLevelType w:val="hybridMultilevel"/>
    <w:tmpl w:val="BDDA06EA"/>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23D30652"/>
    <w:multiLevelType w:val="hybridMultilevel"/>
    <w:tmpl w:val="6EB0D3F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44" w15:restartNumberingAfterBreak="0">
    <w:nsid w:val="24D6587F"/>
    <w:multiLevelType w:val="hybridMultilevel"/>
    <w:tmpl w:val="AB9626C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5" w15:restartNumberingAfterBreak="0">
    <w:nsid w:val="259467AC"/>
    <w:multiLevelType w:val="hybridMultilevel"/>
    <w:tmpl w:val="E5C2C0D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27034FCE"/>
    <w:multiLevelType w:val="hybridMultilevel"/>
    <w:tmpl w:val="8038424A"/>
    <w:lvl w:ilvl="0" w:tplc="3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7397D7D"/>
    <w:multiLevelType w:val="hybridMultilevel"/>
    <w:tmpl w:val="3B5CB7FE"/>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9845E94"/>
    <w:multiLevelType w:val="hybridMultilevel"/>
    <w:tmpl w:val="303CEB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2B983166"/>
    <w:multiLevelType w:val="hybridMultilevel"/>
    <w:tmpl w:val="95844CB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0" w15:restartNumberingAfterBreak="0">
    <w:nsid w:val="2C864C1C"/>
    <w:multiLevelType w:val="hybridMultilevel"/>
    <w:tmpl w:val="D2F6CF7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1" w15:restartNumberingAfterBreak="0">
    <w:nsid w:val="2EBB7D34"/>
    <w:multiLevelType w:val="hybridMultilevel"/>
    <w:tmpl w:val="1958A6F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2" w15:restartNumberingAfterBreak="0">
    <w:nsid w:val="2F6D12E5"/>
    <w:multiLevelType w:val="hybridMultilevel"/>
    <w:tmpl w:val="21784A6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3"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31111270"/>
    <w:multiLevelType w:val="hybridMultilevel"/>
    <w:tmpl w:val="28A0E0D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5" w15:restartNumberingAfterBreak="0">
    <w:nsid w:val="3183296F"/>
    <w:multiLevelType w:val="hybridMultilevel"/>
    <w:tmpl w:val="6B003B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6" w15:restartNumberingAfterBreak="0">
    <w:nsid w:val="31CA4C2E"/>
    <w:multiLevelType w:val="hybridMultilevel"/>
    <w:tmpl w:val="AD66B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32CA2B23"/>
    <w:multiLevelType w:val="hybridMultilevel"/>
    <w:tmpl w:val="A0D0D6CE"/>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3E04CD6"/>
    <w:multiLevelType w:val="hybridMultilevel"/>
    <w:tmpl w:val="B00EA12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340E32FC"/>
    <w:multiLevelType w:val="hybridMultilevel"/>
    <w:tmpl w:val="5128E7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0" w15:restartNumberingAfterBreak="0">
    <w:nsid w:val="35083C82"/>
    <w:multiLevelType w:val="hybridMultilevel"/>
    <w:tmpl w:val="F89AB73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1" w15:restartNumberingAfterBreak="0">
    <w:nsid w:val="35E07F02"/>
    <w:multiLevelType w:val="hybridMultilevel"/>
    <w:tmpl w:val="709A28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2" w15:restartNumberingAfterBreak="0">
    <w:nsid w:val="35E84D32"/>
    <w:multiLevelType w:val="hybridMultilevel"/>
    <w:tmpl w:val="86EEDC4C"/>
    <w:lvl w:ilvl="0" w:tplc="08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6157305"/>
    <w:multiLevelType w:val="hybridMultilevel"/>
    <w:tmpl w:val="36D4E2B0"/>
    <w:lvl w:ilvl="0" w:tplc="08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37B01950"/>
    <w:multiLevelType w:val="hybridMultilevel"/>
    <w:tmpl w:val="E944878C"/>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5" w15:restartNumberingAfterBreak="0">
    <w:nsid w:val="3BA61508"/>
    <w:multiLevelType w:val="hybridMultilevel"/>
    <w:tmpl w:val="E222D0C8"/>
    <w:lvl w:ilvl="0" w:tplc="342CE462">
      <w:start w:val="1"/>
      <w:numFmt w:val="lowerRoman"/>
      <w:lvlText w:val="(%1)"/>
      <w:lvlJc w:val="left"/>
      <w:pPr>
        <w:ind w:left="1080" w:hanging="360"/>
      </w:pPr>
      <w:rPr>
        <w:rFonts w:hint="default"/>
        <w:i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6"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7" w15:restartNumberingAfterBreak="0">
    <w:nsid w:val="3C6D5695"/>
    <w:multiLevelType w:val="hybridMultilevel"/>
    <w:tmpl w:val="9872C3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8" w15:restartNumberingAfterBreak="0">
    <w:nsid w:val="3E2F57CD"/>
    <w:multiLevelType w:val="hybridMultilevel"/>
    <w:tmpl w:val="24CAE602"/>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9" w15:restartNumberingAfterBreak="0">
    <w:nsid w:val="3EB440ED"/>
    <w:multiLevelType w:val="hybridMultilevel"/>
    <w:tmpl w:val="8F4E1638"/>
    <w:lvl w:ilvl="0" w:tplc="40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0" w15:restartNumberingAfterBreak="0">
    <w:nsid w:val="420E4FD5"/>
    <w:multiLevelType w:val="hybridMultilevel"/>
    <w:tmpl w:val="EB9A0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42207722"/>
    <w:multiLevelType w:val="hybridMultilevel"/>
    <w:tmpl w:val="3D58EAA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43803CEF"/>
    <w:multiLevelType w:val="hybridMultilevel"/>
    <w:tmpl w:val="1C404C3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43E03AA1"/>
    <w:multiLevelType w:val="hybridMultilevel"/>
    <w:tmpl w:val="9B46691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4" w15:restartNumberingAfterBreak="0">
    <w:nsid w:val="44547F29"/>
    <w:multiLevelType w:val="hybridMultilevel"/>
    <w:tmpl w:val="6C1E3A60"/>
    <w:lvl w:ilvl="0" w:tplc="0809001B">
      <w:start w:val="1"/>
      <w:numFmt w:val="lowerRoman"/>
      <w:lvlText w:val="%1."/>
      <w:lvlJc w:val="right"/>
      <w:pPr>
        <w:ind w:left="1077" w:hanging="360"/>
      </w:pPr>
      <w:rPr>
        <w:rFont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5" w15:restartNumberingAfterBreak="0">
    <w:nsid w:val="45120886"/>
    <w:multiLevelType w:val="hybridMultilevel"/>
    <w:tmpl w:val="4234483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6" w15:restartNumberingAfterBreak="0">
    <w:nsid w:val="47512BBB"/>
    <w:multiLevelType w:val="hybridMultilevel"/>
    <w:tmpl w:val="B28AD8D2"/>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77" w15:restartNumberingAfterBreak="0">
    <w:nsid w:val="47C16B38"/>
    <w:multiLevelType w:val="hybridMultilevel"/>
    <w:tmpl w:val="ADE265B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8"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95D29F6"/>
    <w:multiLevelType w:val="hybridMultilevel"/>
    <w:tmpl w:val="DBEA55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0" w15:restartNumberingAfterBreak="0">
    <w:nsid w:val="4A2B227B"/>
    <w:multiLevelType w:val="hybridMultilevel"/>
    <w:tmpl w:val="F6441FA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1" w15:restartNumberingAfterBreak="0">
    <w:nsid w:val="4A3C3287"/>
    <w:multiLevelType w:val="hybridMultilevel"/>
    <w:tmpl w:val="3398B3D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82" w15:restartNumberingAfterBreak="0">
    <w:nsid w:val="4B647D4F"/>
    <w:multiLevelType w:val="hybridMultilevel"/>
    <w:tmpl w:val="CCAC90B6"/>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B972620"/>
    <w:multiLevelType w:val="hybridMultilevel"/>
    <w:tmpl w:val="8C46C3B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4" w15:restartNumberingAfterBreak="0">
    <w:nsid w:val="4BC62610"/>
    <w:multiLevelType w:val="hybridMultilevel"/>
    <w:tmpl w:val="0346F152"/>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5" w15:restartNumberingAfterBreak="0">
    <w:nsid w:val="4C3B47F2"/>
    <w:multiLevelType w:val="hybridMultilevel"/>
    <w:tmpl w:val="CF78E362"/>
    <w:lvl w:ilvl="0" w:tplc="08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4DA44ACC"/>
    <w:multiLevelType w:val="hybridMultilevel"/>
    <w:tmpl w:val="ED4E684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7" w15:restartNumberingAfterBreak="0">
    <w:nsid w:val="4FAC2F83"/>
    <w:multiLevelType w:val="hybridMultilevel"/>
    <w:tmpl w:val="E14A58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8"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9" w15:restartNumberingAfterBreak="0">
    <w:nsid w:val="5191763C"/>
    <w:multiLevelType w:val="hybridMultilevel"/>
    <w:tmpl w:val="6598134E"/>
    <w:lvl w:ilvl="0" w:tplc="F69EC026">
      <w:start w:val="1"/>
      <w:numFmt w:val="lowerRoman"/>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0"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3A77C78"/>
    <w:multiLevelType w:val="hybridMultilevel"/>
    <w:tmpl w:val="BF5CD60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2" w15:restartNumberingAfterBreak="0">
    <w:nsid w:val="53E4220C"/>
    <w:multiLevelType w:val="hybridMultilevel"/>
    <w:tmpl w:val="D68418B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3" w15:restartNumberingAfterBreak="0">
    <w:nsid w:val="53E77A37"/>
    <w:multiLevelType w:val="hybridMultilevel"/>
    <w:tmpl w:val="C576CDC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4" w15:restartNumberingAfterBreak="0">
    <w:nsid w:val="55597548"/>
    <w:multiLevelType w:val="hybridMultilevel"/>
    <w:tmpl w:val="E81644A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5"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6" w15:restartNumberingAfterBreak="0">
    <w:nsid w:val="5703623D"/>
    <w:multiLevelType w:val="hybridMultilevel"/>
    <w:tmpl w:val="2EF0FF3A"/>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574A09B6"/>
    <w:multiLevelType w:val="hybridMultilevel"/>
    <w:tmpl w:val="858CC07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98" w15:restartNumberingAfterBreak="0">
    <w:nsid w:val="58A572D6"/>
    <w:multiLevelType w:val="hybridMultilevel"/>
    <w:tmpl w:val="8FE8241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9" w15:restartNumberingAfterBreak="0">
    <w:nsid w:val="59585A03"/>
    <w:multiLevelType w:val="hybridMultilevel"/>
    <w:tmpl w:val="E7926E8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0"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9AD79C9"/>
    <w:multiLevelType w:val="hybridMultilevel"/>
    <w:tmpl w:val="7AA20A2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02" w15:restartNumberingAfterBreak="0">
    <w:nsid w:val="59AF4E15"/>
    <w:multiLevelType w:val="hybridMultilevel"/>
    <w:tmpl w:val="7E6A1DE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3" w15:restartNumberingAfterBreak="0">
    <w:nsid w:val="59F55258"/>
    <w:multiLevelType w:val="hybridMultilevel"/>
    <w:tmpl w:val="678858C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4" w15:restartNumberingAfterBreak="0">
    <w:nsid w:val="5A2E4D72"/>
    <w:multiLevelType w:val="hybridMultilevel"/>
    <w:tmpl w:val="B1102B6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5" w15:restartNumberingAfterBreak="0">
    <w:nsid w:val="5A9558C9"/>
    <w:multiLevelType w:val="hybridMultilevel"/>
    <w:tmpl w:val="BACA504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06" w15:restartNumberingAfterBreak="0">
    <w:nsid w:val="5C4D2FFD"/>
    <w:multiLevelType w:val="hybridMultilevel"/>
    <w:tmpl w:val="A87AFC80"/>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E912142"/>
    <w:multiLevelType w:val="hybridMultilevel"/>
    <w:tmpl w:val="1B7A79C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8" w15:restartNumberingAfterBreak="0">
    <w:nsid w:val="5EA35DC1"/>
    <w:multiLevelType w:val="hybridMultilevel"/>
    <w:tmpl w:val="F99C8C9A"/>
    <w:lvl w:ilvl="0" w:tplc="0809001B">
      <w:start w:val="1"/>
      <w:numFmt w:val="lowerRoman"/>
      <w:lvlText w:val="%1."/>
      <w:lvlJc w:val="righ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109" w15:restartNumberingAfterBreak="0">
    <w:nsid w:val="60696980"/>
    <w:multiLevelType w:val="hybridMultilevel"/>
    <w:tmpl w:val="92CABF20"/>
    <w:lvl w:ilvl="0" w:tplc="0809001B">
      <w:start w:val="1"/>
      <w:numFmt w:val="lowerRoman"/>
      <w:lvlText w:val="%1."/>
      <w:lvlJc w:val="righ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0" w15:restartNumberingAfterBreak="0">
    <w:nsid w:val="60BC6132"/>
    <w:multiLevelType w:val="hybridMultilevel"/>
    <w:tmpl w:val="C65E9FB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11" w15:restartNumberingAfterBreak="0">
    <w:nsid w:val="6181536D"/>
    <w:multiLevelType w:val="hybridMultilevel"/>
    <w:tmpl w:val="AB22D61A"/>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112" w15:restartNumberingAfterBreak="0">
    <w:nsid w:val="61A954AC"/>
    <w:multiLevelType w:val="hybridMultilevel"/>
    <w:tmpl w:val="15082A30"/>
    <w:lvl w:ilvl="0" w:tplc="34090017">
      <w:start w:val="1"/>
      <w:numFmt w:val="low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13" w15:restartNumberingAfterBreak="0">
    <w:nsid w:val="626B60DD"/>
    <w:multiLevelType w:val="hybridMultilevel"/>
    <w:tmpl w:val="A1EE9D6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4"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39D3BA8"/>
    <w:multiLevelType w:val="hybridMultilevel"/>
    <w:tmpl w:val="CE60BCD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64F30259"/>
    <w:multiLevelType w:val="hybridMultilevel"/>
    <w:tmpl w:val="A4A6F20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7" w15:restartNumberingAfterBreak="0">
    <w:nsid w:val="65065F68"/>
    <w:multiLevelType w:val="hybridMultilevel"/>
    <w:tmpl w:val="D206D63C"/>
    <w:lvl w:ilvl="0" w:tplc="0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8"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58853F8"/>
    <w:multiLevelType w:val="hybridMultilevel"/>
    <w:tmpl w:val="1206BD78"/>
    <w:lvl w:ilvl="0" w:tplc="08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661741F2"/>
    <w:multiLevelType w:val="hybridMultilevel"/>
    <w:tmpl w:val="9C72359E"/>
    <w:lvl w:ilvl="0" w:tplc="40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94A151D"/>
    <w:multiLevelType w:val="hybridMultilevel"/>
    <w:tmpl w:val="5AC0D4CA"/>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122" w15:restartNumberingAfterBreak="0">
    <w:nsid w:val="69C21029"/>
    <w:multiLevelType w:val="hybridMultilevel"/>
    <w:tmpl w:val="2890600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3" w15:restartNumberingAfterBreak="0">
    <w:nsid w:val="6A1C7954"/>
    <w:multiLevelType w:val="hybridMultilevel"/>
    <w:tmpl w:val="4EC65CAE"/>
    <w:lvl w:ilvl="0" w:tplc="40090017">
      <w:start w:val="1"/>
      <w:numFmt w:val="lowerLetter"/>
      <w:lvlText w:val="%1)"/>
      <w:lvlJc w:val="left"/>
      <w:pPr>
        <w:ind w:left="-252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360" w:hanging="360"/>
      </w:pPr>
      <w:rPr>
        <w:rFonts w:ascii="Symbol" w:hAnsi="Symbol" w:hint="default"/>
      </w:rPr>
    </w:lvl>
    <w:lvl w:ilvl="4" w:tplc="FFFFFFFF" w:tentative="1">
      <w:start w:val="1"/>
      <w:numFmt w:val="bullet"/>
      <w:lvlText w:val="o"/>
      <w:lvlJc w:val="left"/>
      <w:pPr>
        <w:ind w:left="360" w:hanging="360"/>
      </w:pPr>
      <w:rPr>
        <w:rFonts w:ascii="Courier New" w:hAnsi="Courier New" w:cs="Courier New" w:hint="default"/>
      </w:rPr>
    </w:lvl>
    <w:lvl w:ilvl="5" w:tplc="FFFFFFFF" w:tentative="1">
      <w:start w:val="1"/>
      <w:numFmt w:val="bullet"/>
      <w:lvlText w:val=""/>
      <w:lvlJc w:val="left"/>
      <w:pPr>
        <w:ind w:left="1080" w:hanging="360"/>
      </w:pPr>
      <w:rPr>
        <w:rFonts w:ascii="Wingdings" w:hAnsi="Wingdings" w:hint="default"/>
      </w:rPr>
    </w:lvl>
    <w:lvl w:ilvl="6" w:tplc="FFFFFFFF" w:tentative="1">
      <w:start w:val="1"/>
      <w:numFmt w:val="bullet"/>
      <w:lvlText w:val=""/>
      <w:lvlJc w:val="left"/>
      <w:pPr>
        <w:ind w:left="1800" w:hanging="360"/>
      </w:pPr>
      <w:rPr>
        <w:rFonts w:ascii="Symbol" w:hAnsi="Symbol" w:hint="default"/>
      </w:rPr>
    </w:lvl>
    <w:lvl w:ilvl="7" w:tplc="FFFFFFFF" w:tentative="1">
      <w:start w:val="1"/>
      <w:numFmt w:val="bullet"/>
      <w:lvlText w:val="o"/>
      <w:lvlJc w:val="left"/>
      <w:pPr>
        <w:ind w:left="2520" w:hanging="360"/>
      </w:pPr>
      <w:rPr>
        <w:rFonts w:ascii="Courier New" w:hAnsi="Courier New" w:cs="Courier New" w:hint="default"/>
      </w:rPr>
    </w:lvl>
    <w:lvl w:ilvl="8" w:tplc="FFFFFFFF" w:tentative="1">
      <w:start w:val="1"/>
      <w:numFmt w:val="bullet"/>
      <w:lvlText w:val=""/>
      <w:lvlJc w:val="left"/>
      <w:pPr>
        <w:ind w:left="3240" w:hanging="360"/>
      </w:pPr>
      <w:rPr>
        <w:rFonts w:ascii="Wingdings" w:hAnsi="Wingdings" w:hint="default"/>
      </w:rPr>
    </w:lvl>
  </w:abstractNum>
  <w:abstractNum w:abstractNumId="124" w15:restartNumberingAfterBreak="0">
    <w:nsid w:val="6A76015D"/>
    <w:multiLevelType w:val="hybridMultilevel"/>
    <w:tmpl w:val="C1183928"/>
    <w:lvl w:ilvl="0" w:tplc="40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5" w15:restartNumberingAfterBreak="0">
    <w:nsid w:val="6AF46640"/>
    <w:multiLevelType w:val="hybridMultilevel"/>
    <w:tmpl w:val="482E9780"/>
    <w:lvl w:ilvl="0" w:tplc="40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6"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7" w15:restartNumberingAfterBreak="0">
    <w:nsid w:val="6D1B686A"/>
    <w:multiLevelType w:val="hybridMultilevel"/>
    <w:tmpl w:val="0B74AF98"/>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8" w15:restartNumberingAfterBreak="0">
    <w:nsid w:val="6D966C57"/>
    <w:multiLevelType w:val="hybridMultilevel"/>
    <w:tmpl w:val="3EDE3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9" w15:restartNumberingAfterBreak="0">
    <w:nsid w:val="6EA86546"/>
    <w:multiLevelType w:val="hybridMultilevel"/>
    <w:tmpl w:val="B2B66CB2"/>
    <w:lvl w:ilvl="0" w:tplc="3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6EB96BCB"/>
    <w:multiLevelType w:val="hybridMultilevel"/>
    <w:tmpl w:val="1FDCC1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FC055A3"/>
    <w:multiLevelType w:val="hybridMultilevel"/>
    <w:tmpl w:val="2048DD1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2" w15:restartNumberingAfterBreak="0">
    <w:nsid w:val="700B1FB5"/>
    <w:multiLevelType w:val="hybridMultilevel"/>
    <w:tmpl w:val="28FEF960"/>
    <w:lvl w:ilvl="0" w:tplc="0809001B">
      <w:start w:val="1"/>
      <w:numFmt w:val="lowerRoman"/>
      <w:lvlText w:val="%1."/>
      <w:lvlJc w:val="righ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708B5D88"/>
    <w:multiLevelType w:val="hybridMultilevel"/>
    <w:tmpl w:val="086EC5D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4" w15:restartNumberingAfterBreak="0">
    <w:nsid w:val="71CA1E9F"/>
    <w:multiLevelType w:val="hybridMultilevel"/>
    <w:tmpl w:val="E2D0F5E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5" w15:restartNumberingAfterBreak="0">
    <w:nsid w:val="71CC6918"/>
    <w:multiLevelType w:val="hybridMultilevel"/>
    <w:tmpl w:val="23167A5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36" w15:restartNumberingAfterBreak="0">
    <w:nsid w:val="71D66A08"/>
    <w:multiLevelType w:val="hybridMultilevel"/>
    <w:tmpl w:val="166A4708"/>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7" w15:restartNumberingAfterBreak="0">
    <w:nsid w:val="727660C3"/>
    <w:multiLevelType w:val="hybridMultilevel"/>
    <w:tmpl w:val="A1ACB940"/>
    <w:lvl w:ilvl="0" w:tplc="F69EC026">
      <w:start w:val="1"/>
      <w:numFmt w:val="lowerRoman"/>
      <w:lvlText w:val="(%1)"/>
      <w:lvlJc w:val="lef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38"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9"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3D73E8C"/>
    <w:multiLevelType w:val="hybridMultilevel"/>
    <w:tmpl w:val="598820B2"/>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141" w15:restartNumberingAfterBreak="0">
    <w:nsid w:val="746F2607"/>
    <w:multiLevelType w:val="hybridMultilevel"/>
    <w:tmpl w:val="42B69E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2"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3" w15:restartNumberingAfterBreak="0">
    <w:nsid w:val="74A65DE3"/>
    <w:multiLevelType w:val="hybridMultilevel"/>
    <w:tmpl w:val="4092887E"/>
    <w:lvl w:ilvl="0" w:tplc="08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4" w15:restartNumberingAfterBreak="0">
    <w:nsid w:val="7563394C"/>
    <w:multiLevelType w:val="hybridMultilevel"/>
    <w:tmpl w:val="CE785A9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5" w15:restartNumberingAfterBreak="0">
    <w:nsid w:val="77402C84"/>
    <w:multiLevelType w:val="hybridMultilevel"/>
    <w:tmpl w:val="FE466D6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6" w15:restartNumberingAfterBreak="0">
    <w:nsid w:val="77F00E41"/>
    <w:multiLevelType w:val="hybridMultilevel"/>
    <w:tmpl w:val="28FEFA1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7" w15:restartNumberingAfterBreak="0">
    <w:nsid w:val="785B139C"/>
    <w:multiLevelType w:val="hybridMultilevel"/>
    <w:tmpl w:val="0EDEDEB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8" w15:restartNumberingAfterBreak="0">
    <w:nsid w:val="7A707A2C"/>
    <w:multiLevelType w:val="hybridMultilevel"/>
    <w:tmpl w:val="7A5A519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9" w15:restartNumberingAfterBreak="0">
    <w:nsid w:val="7A9D1A93"/>
    <w:multiLevelType w:val="hybridMultilevel"/>
    <w:tmpl w:val="EF68F17E"/>
    <w:lvl w:ilvl="0" w:tplc="08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0" w15:restartNumberingAfterBreak="0">
    <w:nsid w:val="7E794B4C"/>
    <w:multiLevelType w:val="hybridMultilevel"/>
    <w:tmpl w:val="3B86E5CA"/>
    <w:lvl w:ilvl="0" w:tplc="40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1"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2" w15:restartNumberingAfterBreak="0">
    <w:nsid w:val="7EB94940"/>
    <w:multiLevelType w:val="hybridMultilevel"/>
    <w:tmpl w:val="D346E0C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7EEE31E8"/>
    <w:multiLevelType w:val="hybridMultilevel"/>
    <w:tmpl w:val="4266AF3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54"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44936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139"/>
  </w:num>
  <w:num w:numId="3" w16cid:durableId="973294829">
    <w:abstractNumId w:val="34"/>
  </w:num>
  <w:num w:numId="4" w16cid:durableId="555043017">
    <w:abstractNumId w:val="0"/>
  </w:num>
  <w:num w:numId="5" w16cid:durableId="1115052401">
    <w:abstractNumId w:val="154"/>
  </w:num>
  <w:num w:numId="6" w16cid:durableId="1355031481">
    <w:abstractNumId w:val="90"/>
  </w:num>
  <w:num w:numId="7" w16cid:durableId="2017657778">
    <w:abstractNumId w:val="100"/>
  </w:num>
  <w:num w:numId="8" w16cid:durableId="216361102">
    <w:abstractNumId w:val="78"/>
  </w:num>
  <w:num w:numId="9" w16cid:durableId="604732300">
    <w:abstractNumId w:val="118"/>
  </w:num>
  <w:num w:numId="10" w16cid:durableId="1132018037">
    <w:abstractNumId w:val="4"/>
  </w:num>
  <w:num w:numId="11" w16cid:durableId="1221555931">
    <w:abstractNumId w:val="142"/>
  </w:num>
  <w:num w:numId="12" w16cid:durableId="1092899972">
    <w:abstractNumId w:val="21"/>
  </w:num>
  <w:num w:numId="13" w16cid:durableId="1963459333">
    <w:abstractNumId w:val="3"/>
  </w:num>
  <w:num w:numId="14" w16cid:durableId="661202714">
    <w:abstractNumId w:val="114"/>
    <w:lvlOverride w:ilvl="0">
      <w:lvl w:ilvl="0">
        <w:numFmt w:val="lowerRoman"/>
        <w:lvlText w:val="%1."/>
        <w:lvlJc w:val="right"/>
      </w:lvl>
    </w:lvlOverride>
  </w:num>
  <w:num w:numId="15" w16cid:durableId="1415124718">
    <w:abstractNumId w:val="114"/>
    <w:lvlOverride w:ilvl="0">
      <w:lvl w:ilvl="0">
        <w:numFmt w:val="lowerRoman"/>
        <w:lvlText w:val="%1."/>
        <w:lvlJc w:val="right"/>
      </w:lvl>
    </w:lvlOverride>
  </w:num>
  <w:num w:numId="16" w16cid:durableId="356656828">
    <w:abstractNumId w:val="114"/>
    <w:lvlOverride w:ilvl="0">
      <w:lvl w:ilvl="0">
        <w:numFmt w:val="lowerRoman"/>
        <w:lvlText w:val="%1."/>
        <w:lvlJc w:val="right"/>
      </w:lvl>
    </w:lvlOverride>
  </w:num>
  <w:num w:numId="17" w16cid:durableId="1517766985">
    <w:abstractNumId w:val="114"/>
    <w:lvlOverride w:ilvl="0">
      <w:lvl w:ilvl="0">
        <w:numFmt w:val="lowerRoman"/>
        <w:lvlText w:val="%1."/>
        <w:lvlJc w:val="right"/>
      </w:lvl>
    </w:lvlOverride>
  </w:num>
  <w:num w:numId="18" w16cid:durableId="660040616">
    <w:abstractNumId w:val="88"/>
  </w:num>
  <w:num w:numId="19" w16cid:durableId="6102727">
    <w:abstractNumId w:val="48"/>
  </w:num>
  <w:num w:numId="20" w16cid:durableId="1493520641">
    <w:abstractNumId w:val="68"/>
  </w:num>
  <w:num w:numId="21" w16cid:durableId="394161690">
    <w:abstractNumId w:val="35"/>
  </w:num>
  <w:num w:numId="22" w16cid:durableId="117797974">
    <w:abstractNumId w:val="64"/>
  </w:num>
  <w:num w:numId="23" w16cid:durableId="639926122">
    <w:abstractNumId w:val="12"/>
  </w:num>
  <w:num w:numId="24" w16cid:durableId="135998681">
    <w:abstractNumId w:val="137"/>
  </w:num>
  <w:num w:numId="25" w16cid:durableId="688526435">
    <w:abstractNumId w:val="65"/>
  </w:num>
  <w:num w:numId="26" w16cid:durableId="362293807">
    <w:abstractNumId w:val="38"/>
  </w:num>
  <w:num w:numId="27" w16cid:durableId="958680568">
    <w:abstractNumId w:val="89"/>
  </w:num>
  <w:num w:numId="28" w16cid:durableId="904878562">
    <w:abstractNumId w:val="126"/>
  </w:num>
  <w:num w:numId="29" w16cid:durableId="852308163">
    <w:abstractNumId w:val="95"/>
  </w:num>
  <w:num w:numId="30" w16cid:durableId="1558203664">
    <w:abstractNumId w:val="25"/>
  </w:num>
  <w:num w:numId="31" w16cid:durableId="1357654313">
    <w:abstractNumId w:val="66"/>
  </w:num>
  <w:num w:numId="32" w16cid:durableId="796682089">
    <w:abstractNumId w:val="151"/>
  </w:num>
  <w:num w:numId="33" w16cid:durableId="683823723">
    <w:abstractNumId w:val="27"/>
  </w:num>
  <w:num w:numId="34" w16cid:durableId="1331644596">
    <w:abstractNumId w:val="138"/>
  </w:num>
  <w:num w:numId="35" w16cid:durableId="1920214604">
    <w:abstractNumId w:val="107"/>
  </w:num>
  <w:num w:numId="36" w16cid:durableId="594754352">
    <w:abstractNumId w:val="99"/>
  </w:num>
  <w:num w:numId="37" w16cid:durableId="618145878">
    <w:abstractNumId w:val="42"/>
  </w:num>
  <w:num w:numId="38" w16cid:durableId="901211574">
    <w:abstractNumId w:val="54"/>
  </w:num>
  <w:num w:numId="39" w16cid:durableId="747189664">
    <w:abstractNumId w:val="136"/>
  </w:num>
  <w:num w:numId="40" w16cid:durableId="1807772640">
    <w:abstractNumId w:val="50"/>
  </w:num>
  <w:num w:numId="41" w16cid:durableId="727535584">
    <w:abstractNumId w:val="36"/>
  </w:num>
  <w:num w:numId="42" w16cid:durableId="1353992384">
    <w:abstractNumId w:val="61"/>
  </w:num>
  <w:num w:numId="43" w16cid:durableId="2035840110">
    <w:abstractNumId w:val="113"/>
  </w:num>
  <w:num w:numId="44" w16cid:durableId="2075620216">
    <w:abstractNumId w:val="33"/>
  </w:num>
  <w:num w:numId="45" w16cid:durableId="577060579">
    <w:abstractNumId w:val="76"/>
  </w:num>
  <w:num w:numId="46" w16cid:durableId="766463855">
    <w:abstractNumId w:val="18"/>
  </w:num>
  <w:num w:numId="47" w16cid:durableId="1711107700">
    <w:abstractNumId w:val="84"/>
  </w:num>
  <w:num w:numId="48" w16cid:durableId="329601572">
    <w:abstractNumId w:val="133"/>
  </w:num>
  <w:num w:numId="49" w16cid:durableId="1732340731">
    <w:abstractNumId w:val="92"/>
  </w:num>
  <w:num w:numId="50" w16cid:durableId="1720665195">
    <w:abstractNumId w:val="6"/>
  </w:num>
  <w:num w:numId="51" w16cid:durableId="1924407811">
    <w:abstractNumId w:val="1"/>
  </w:num>
  <w:num w:numId="52" w16cid:durableId="238101921">
    <w:abstractNumId w:val="93"/>
  </w:num>
  <w:num w:numId="53" w16cid:durableId="1151019813">
    <w:abstractNumId w:val="130"/>
  </w:num>
  <w:num w:numId="54" w16cid:durableId="642780145">
    <w:abstractNumId w:val="75"/>
  </w:num>
  <w:num w:numId="55" w16cid:durableId="1337070752">
    <w:abstractNumId w:val="117"/>
  </w:num>
  <w:num w:numId="56" w16cid:durableId="1484466463">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26299145">
    <w:abstractNumId w:val="20"/>
  </w:num>
  <w:num w:numId="58" w16cid:durableId="213150628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7899580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597420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385129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895974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6528984">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1942089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49338846">
    <w:abstractNumId w:val="11"/>
  </w:num>
  <w:num w:numId="66" w16cid:durableId="2017733394">
    <w:abstractNumId w:val="2"/>
  </w:num>
  <w:num w:numId="67" w16cid:durableId="2605344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212486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9460919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51013805">
    <w:abstractNumId w:val="59"/>
  </w:num>
  <w:num w:numId="71" w16cid:durableId="95030058">
    <w:abstractNumId w:val="87"/>
  </w:num>
  <w:num w:numId="72" w16cid:durableId="1457872605">
    <w:abstractNumId w:val="67"/>
  </w:num>
  <w:num w:numId="73" w16cid:durableId="174279951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304427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168443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353850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35842884">
    <w:abstractNumId w:val="43"/>
  </w:num>
  <w:num w:numId="78" w16cid:durableId="600257110">
    <w:abstractNumId w:val="97"/>
  </w:num>
  <w:num w:numId="79" w16cid:durableId="1576550529">
    <w:abstractNumId w:val="105"/>
  </w:num>
  <w:num w:numId="80" w16cid:durableId="1802457736">
    <w:abstractNumId w:val="80"/>
  </w:num>
  <w:num w:numId="81" w16cid:durableId="1014921430">
    <w:abstractNumId w:val="135"/>
  </w:num>
  <w:num w:numId="82" w16cid:durableId="15965965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2874985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5672360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37159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8936705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019870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10624234">
    <w:abstractNumId w:val="40"/>
  </w:num>
  <w:num w:numId="89" w16cid:durableId="12575153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86237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497941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2514601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7982943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234163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2831254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692995232">
    <w:abstractNumId w:val="81"/>
  </w:num>
  <w:num w:numId="97" w16cid:durableId="750084292">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2917594">
    <w:abstractNumId w:val="140"/>
  </w:num>
  <w:num w:numId="99" w16cid:durableId="135037550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20009046">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60951065">
    <w:abstractNumId w:val="121"/>
  </w:num>
  <w:num w:numId="102" w16cid:durableId="1516048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006548108">
    <w:abstractNumId w:val="101"/>
  </w:num>
  <w:num w:numId="104" w16cid:durableId="2059163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723052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27488851">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592468433">
    <w:abstractNumId w:val="16"/>
  </w:num>
  <w:num w:numId="108" w16cid:durableId="1321347882">
    <w:abstractNumId w:val="39"/>
  </w:num>
  <w:num w:numId="109" w16cid:durableId="7061760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6979262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0102699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09516962">
    <w:abstractNumId w:val="56"/>
  </w:num>
  <w:num w:numId="113" w16cid:durableId="38641817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3900219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95657052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548647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99726868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3814689">
    <w:abstractNumId w:val="110"/>
  </w:num>
  <w:num w:numId="119" w16cid:durableId="2573013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53977596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10758019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80854801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19507421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65553029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4286998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878931244">
    <w:abstractNumId w:val="109"/>
  </w:num>
  <w:num w:numId="127" w16cid:durableId="115174708">
    <w:abstractNumId w:val="47"/>
  </w:num>
  <w:num w:numId="128" w16cid:durableId="1469128560">
    <w:abstractNumId w:val="46"/>
  </w:num>
  <w:num w:numId="129" w16cid:durableId="1992171210">
    <w:abstractNumId w:val="129"/>
  </w:num>
  <w:num w:numId="130" w16cid:durableId="2054764388">
    <w:abstractNumId w:val="70"/>
  </w:num>
  <w:num w:numId="131" w16cid:durableId="1355226202">
    <w:abstractNumId w:val="106"/>
  </w:num>
  <w:num w:numId="132" w16cid:durableId="514999555">
    <w:abstractNumId w:val="85"/>
  </w:num>
  <w:num w:numId="133" w16cid:durableId="321012084">
    <w:abstractNumId w:val="69"/>
  </w:num>
  <w:num w:numId="134" w16cid:durableId="784079050">
    <w:abstractNumId w:val="62"/>
  </w:num>
  <w:num w:numId="135" w16cid:durableId="640427112">
    <w:abstractNumId w:val="119"/>
  </w:num>
  <w:num w:numId="136" w16cid:durableId="386496437">
    <w:abstractNumId w:val="63"/>
  </w:num>
  <w:num w:numId="137" w16cid:durableId="75172109">
    <w:abstractNumId w:val="143"/>
  </w:num>
  <w:num w:numId="138" w16cid:durableId="1942492443">
    <w:abstractNumId w:val="127"/>
  </w:num>
  <w:num w:numId="139" w16cid:durableId="332031519">
    <w:abstractNumId w:val="15"/>
  </w:num>
  <w:num w:numId="140" w16cid:durableId="2088459379">
    <w:abstractNumId w:val="152"/>
  </w:num>
  <w:num w:numId="141" w16cid:durableId="1219128946">
    <w:abstractNumId w:val="108"/>
  </w:num>
  <w:num w:numId="142" w16cid:durableId="449931367">
    <w:abstractNumId w:val="31"/>
  </w:num>
  <w:num w:numId="143" w16cid:durableId="1286276055">
    <w:abstractNumId w:val="132"/>
  </w:num>
  <w:num w:numId="144" w16cid:durableId="1571429465">
    <w:abstractNumId w:val="123"/>
  </w:num>
  <w:num w:numId="145" w16cid:durableId="205874366">
    <w:abstractNumId w:val="13"/>
  </w:num>
  <w:num w:numId="146" w16cid:durableId="2146579818">
    <w:abstractNumId w:val="112"/>
  </w:num>
  <w:num w:numId="147" w16cid:durableId="538400348">
    <w:abstractNumId w:val="120"/>
  </w:num>
  <w:num w:numId="148" w16cid:durableId="847259122">
    <w:abstractNumId w:val="149"/>
  </w:num>
  <w:num w:numId="149" w16cid:durableId="1712340943">
    <w:abstractNumId w:val="150"/>
  </w:num>
  <w:num w:numId="150" w16cid:durableId="1984851608">
    <w:abstractNumId w:val="19"/>
  </w:num>
  <w:num w:numId="151" w16cid:durableId="548416172">
    <w:abstractNumId w:val="57"/>
  </w:num>
  <w:num w:numId="152" w16cid:durableId="175660670">
    <w:abstractNumId w:val="124"/>
  </w:num>
  <w:num w:numId="153" w16cid:durableId="2120489992">
    <w:abstractNumId w:val="125"/>
  </w:num>
  <w:num w:numId="154" w16cid:durableId="386729409">
    <w:abstractNumId w:val="82"/>
  </w:num>
  <w:num w:numId="155" w16cid:durableId="1389646386">
    <w:abstractNumId w:val="30"/>
  </w:num>
  <w:num w:numId="156" w16cid:durableId="827406297">
    <w:abstractNumId w:val="74"/>
  </w:num>
  <w:num w:numId="157" w16cid:durableId="103160620">
    <w:abstractNumId w:val="96"/>
  </w:num>
  <w:num w:numId="158" w16cid:durableId="44237931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00CC"/>
    <w:rsid w:val="0000389F"/>
    <w:rsid w:val="00003B27"/>
    <w:rsid w:val="00004159"/>
    <w:rsid w:val="00011D2F"/>
    <w:rsid w:val="00013DE5"/>
    <w:rsid w:val="000140D7"/>
    <w:rsid w:val="00014E50"/>
    <w:rsid w:val="00016FE3"/>
    <w:rsid w:val="000243D9"/>
    <w:rsid w:val="0002598F"/>
    <w:rsid w:val="000261AF"/>
    <w:rsid w:val="00030FAA"/>
    <w:rsid w:val="00034A74"/>
    <w:rsid w:val="00035967"/>
    <w:rsid w:val="00040DC8"/>
    <w:rsid w:val="00041079"/>
    <w:rsid w:val="000421DD"/>
    <w:rsid w:val="000450EC"/>
    <w:rsid w:val="00045FC0"/>
    <w:rsid w:val="000461EE"/>
    <w:rsid w:val="00055654"/>
    <w:rsid w:val="00055A66"/>
    <w:rsid w:val="00056750"/>
    <w:rsid w:val="00056ED2"/>
    <w:rsid w:val="000608FB"/>
    <w:rsid w:val="00061F39"/>
    <w:rsid w:val="00063753"/>
    <w:rsid w:val="00063802"/>
    <w:rsid w:val="00072C1A"/>
    <w:rsid w:val="00073713"/>
    <w:rsid w:val="0008162E"/>
    <w:rsid w:val="00086750"/>
    <w:rsid w:val="00092D28"/>
    <w:rsid w:val="000971FA"/>
    <w:rsid w:val="000A2797"/>
    <w:rsid w:val="000A40AA"/>
    <w:rsid w:val="000A6ABC"/>
    <w:rsid w:val="000B2FAD"/>
    <w:rsid w:val="000B60E8"/>
    <w:rsid w:val="000B7C38"/>
    <w:rsid w:val="000C309D"/>
    <w:rsid w:val="000C4623"/>
    <w:rsid w:val="000C478D"/>
    <w:rsid w:val="000C50F6"/>
    <w:rsid w:val="000D72BC"/>
    <w:rsid w:val="000E2273"/>
    <w:rsid w:val="000E3002"/>
    <w:rsid w:val="000E568E"/>
    <w:rsid w:val="000E7DAA"/>
    <w:rsid w:val="000F2A5B"/>
    <w:rsid w:val="000F435A"/>
    <w:rsid w:val="000F741F"/>
    <w:rsid w:val="00100E22"/>
    <w:rsid w:val="00101D42"/>
    <w:rsid w:val="00102F58"/>
    <w:rsid w:val="00112C79"/>
    <w:rsid w:val="0011342C"/>
    <w:rsid w:val="001148B5"/>
    <w:rsid w:val="001170F1"/>
    <w:rsid w:val="0012048D"/>
    <w:rsid w:val="00120784"/>
    <w:rsid w:val="00122A8C"/>
    <w:rsid w:val="00132482"/>
    <w:rsid w:val="00135E3F"/>
    <w:rsid w:val="00142600"/>
    <w:rsid w:val="00142769"/>
    <w:rsid w:val="0014388E"/>
    <w:rsid w:val="00143BEB"/>
    <w:rsid w:val="00144A94"/>
    <w:rsid w:val="001465AF"/>
    <w:rsid w:val="00151F4A"/>
    <w:rsid w:val="00157817"/>
    <w:rsid w:val="001603CF"/>
    <w:rsid w:val="0016086D"/>
    <w:rsid w:val="00161168"/>
    <w:rsid w:val="001642C8"/>
    <w:rsid w:val="00165D67"/>
    <w:rsid w:val="00166B91"/>
    <w:rsid w:val="0016729A"/>
    <w:rsid w:val="0017447D"/>
    <w:rsid w:val="0017459A"/>
    <w:rsid w:val="001760EA"/>
    <w:rsid w:val="00176578"/>
    <w:rsid w:val="00181830"/>
    <w:rsid w:val="00183CF7"/>
    <w:rsid w:val="001840A3"/>
    <w:rsid w:val="001845B3"/>
    <w:rsid w:val="00184995"/>
    <w:rsid w:val="00191481"/>
    <w:rsid w:val="001919D6"/>
    <w:rsid w:val="00192502"/>
    <w:rsid w:val="0019610D"/>
    <w:rsid w:val="001979E4"/>
    <w:rsid w:val="001A0EF6"/>
    <w:rsid w:val="001A1EC5"/>
    <w:rsid w:val="001A68B8"/>
    <w:rsid w:val="001A6F82"/>
    <w:rsid w:val="001A7174"/>
    <w:rsid w:val="001B2B56"/>
    <w:rsid w:val="001B6B31"/>
    <w:rsid w:val="001B71EB"/>
    <w:rsid w:val="001B7EA8"/>
    <w:rsid w:val="001C511D"/>
    <w:rsid w:val="001C5713"/>
    <w:rsid w:val="001D2BAA"/>
    <w:rsid w:val="001D66AF"/>
    <w:rsid w:val="001E4E74"/>
    <w:rsid w:val="001E5355"/>
    <w:rsid w:val="001F0037"/>
    <w:rsid w:val="001F05C7"/>
    <w:rsid w:val="001F14B9"/>
    <w:rsid w:val="001F22AF"/>
    <w:rsid w:val="00200F1B"/>
    <w:rsid w:val="0020579C"/>
    <w:rsid w:val="00207307"/>
    <w:rsid w:val="00210794"/>
    <w:rsid w:val="00210965"/>
    <w:rsid w:val="0021140B"/>
    <w:rsid w:val="00211912"/>
    <w:rsid w:val="00212B93"/>
    <w:rsid w:val="002144D9"/>
    <w:rsid w:val="0021691F"/>
    <w:rsid w:val="00224298"/>
    <w:rsid w:val="00225D41"/>
    <w:rsid w:val="00227091"/>
    <w:rsid w:val="0023070A"/>
    <w:rsid w:val="002377E5"/>
    <w:rsid w:val="002459A5"/>
    <w:rsid w:val="00247619"/>
    <w:rsid w:val="0024778F"/>
    <w:rsid w:val="002533D5"/>
    <w:rsid w:val="00253C68"/>
    <w:rsid w:val="002612CB"/>
    <w:rsid w:val="002626AB"/>
    <w:rsid w:val="00264594"/>
    <w:rsid w:val="0026625A"/>
    <w:rsid w:val="0027454E"/>
    <w:rsid w:val="00275839"/>
    <w:rsid w:val="002763D9"/>
    <w:rsid w:val="0028154B"/>
    <w:rsid w:val="0028403B"/>
    <w:rsid w:val="002841B3"/>
    <w:rsid w:val="002914A1"/>
    <w:rsid w:val="002954FC"/>
    <w:rsid w:val="002A0C94"/>
    <w:rsid w:val="002A0FAF"/>
    <w:rsid w:val="002A32F6"/>
    <w:rsid w:val="002A7462"/>
    <w:rsid w:val="002B3497"/>
    <w:rsid w:val="002B7807"/>
    <w:rsid w:val="002B785F"/>
    <w:rsid w:val="002C054E"/>
    <w:rsid w:val="002C3703"/>
    <w:rsid w:val="002C5BC6"/>
    <w:rsid w:val="002D1B99"/>
    <w:rsid w:val="002D2925"/>
    <w:rsid w:val="002D2F3B"/>
    <w:rsid w:val="002D662D"/>
    <w:rsid w:val="002D6DB9"/>
    <w:rsid w:val="002E0650"/>
    <w:rsid w:val="002F47A8"/>
    <w:rsid w:val="002F5E3F"/>
    <w:rsid w:val="00301D0B"/>
    <w:rsid w:val="003027B4"/>
    <w:rsid w:val="003027B8"/>
    <w:rsid w:val="00302E27"/>
    <w:rsid w:val="003063F4"/>
    <w:rsid w:val="00311749"/>
    <w:rsid w:val="0031285F"/>
    <w:rsid w:val="00313111"/>
    <w:rsid w:val="003134D7"/>
    <w:rsid w:val="00315BDB"/>
    <w:rsid w:val="00316B70"/>
    <w:rsid w:val="00320441"/>
    <w:rsid w:val="00323616"/>
    <w:rsid w:val="00336182"/>
    <w:rsid w:val="003375B3"/>
    <w:rsid w:val="0035106B"/>
    <w:rsid w:val="0035257C"/>
    <w:rsid w:val="00353F97"/>
    <w:rsid w:val="00354619"/>
    <w:rsid w:val="00363E39"/>
    <w:rsid w:val="00365019"/>
    <w:rsid w:val="003803AD"/>
    <w:rsid w:val="0038051B"/>
    <w:rsid w:val="003809B6"/>
    <w:rsid w:val="00382F0D"/>
    <w:rsid w:val="0038349A"/>
    <w:rsid w:val="003855D3"/>
    <w:rsid w:val="0038619E"/>
    <w:rsid w:val="0038748F"/>
    <w:rsid w:val="00391FF3"/>
    <w:rsid w:val="003937A1"/>
    <w:rsid w:val="00393C93"/>
    <w:rsid w:val="00394BC9"/>
    <w:rsid w:val="003A6E6F"/>
    <w:rsid w:val="003A790F"/>
    <w:rsid w:val="003B4B1A"/>
    <w:rsid w:val="003B78CB"/>
    <w:rsid w:val="003C28EF"/>
    <w:rsid w:val="003D4F64"/>
    <w:rsid w:val="003D6978"/>
    <w:rsid w:val="003E143E"/>
    <w:rsid w:val="003E171D"/>
    <w:rsid w:val="003E40C1"/>
    <w:rsid w:val="003E435C"/>
    <w:rsid w:val="003F1315"/>
    <w:rsid w:val="003F1DD6"/>
    <w:rsid w:val="003F406B"/>
    <w:rsid w:val="00400A92"/>
    <w:rsid w:val="004018C5"/>
    <w:rsid w:val="00402933"/>
    <w:rsid w:val="0040309D"/>
    <w:rsid w:val="00406921"/>
    <w:rsid w:val="0040696B"/>
    <w:rsid w:val="00407546"/>
    <w:rsid w:val="00407E79"/>
    <w:rsid w:val="00410EAB"/>
    <w:rsid w:val="004122E6"/>
    <w:rsid w:val="0041769C"/>
    <w:rsid w:val="004176D3"/>
    <w:rsid w:val="00417EA6"/>
    <w:rsid w:val="0042063D"/>
    <w:rsid w:val="004213EB"/>
    <w:rsid w:val="00422D5D"/>
    <w:rsid w:val="00426E64"/>
    <w:rsid w:val="004311E2"/>
    <w:rsid w:val="00431670"/>
    <w:rsid w:val="004341BB"/>
    <w:rsid w:val="0043455F"/>
    <w:rsid w:val="004438A0"/>
    <w:rsid w:val="00445F86"/>
    <w:rsid w:val="0044627F"/>
    <w:rsid w:val="004525C9"/>
    <w:rsid w:val="00454BBF"/>
    <w:rsid w:val="00455391"/>
    <w:rsid w:val="00463502"/>
    <w:rsid w:val="004659D9"/>
    <w:rsid w:val="00471471"/>
    <w:rsid w:val="00476BE3"/>
    <w:rsid w:val="00477D98"/>
    <w:rsid w:val="004910BE"/>
    <w:rsid w:val="00496C17"/>
    <w:rsid w:val="004A24FB"/>
    <w:rsid w:val="004A2C5F"/>
    <w:rsid w:val="004A47DF"/>
    <w:rsid w:val="004A5B57"/>
    <w:rsid w:val="004A6883"/>
    <w:rsid w:val="004A6C90"/>
    <w:rsid w:val="004B0F4E"/>
    <w:rsid w:val="004B5145"/>
    <w:rsid w:val="004B6F5C"/>
    <w:rsid w:val="004B73FE"/>
    <w:rsid w:val="004C1150"/>
    <w:rsid w:val="004C4B2E"/>
    <w:rsid w:val="004C5341"/>
    <w:rsid w:val="004D29AC"/>
    <w:rsid w:val="004D2B1D"/>
    <w:rsid w:val="004D4C43"/>
    <w:rsid w:val="004D4E1B"/>
    <w:rsid w:val="004D4E4B"/>
    <w:rsid w:val="004D6D1C"/>
    <w:rsid w:val="004E2DCA"/>
    <w:rsid w:val="004E3586"/>
    <w:rsid w:val="004E3A51"/>
    <w:rsid w:val="004E74DA"/>
    <w:rsid w:val="004F2B3E"/>
    <w:rsid w:val="004F69A0"/>
    <w:rsid w:val="00500CF2"/>
    <w:rsid w:val="00501590"/>
    <w:rsid w:val="005078D6"/>
    <w:rsid w:val="00510F00"/>
    <w:rsid w:val="0051321A"/>
    <w:rsid w:val="00520927"/>
    <w:rsid w:val="00523D35"/>
    <w:rsid w:val="005241E5"/>
    <w:rsid w:val="005272EF"/>
    <w:rsid w:val="00533C38"/>
    <w:rsid w:val="00536F1B"/>
    <w:rsid w:val="00542AC9"/>
    <w:rsid w:val="00544182"/>
    <w:rsid w:val="00545BDD"/>
    <w:rsid w:val="00554C31"/>
    <w:rsid w:val="00560C1D"/>
    <w:rsid w:val="00560E2A"/>
    <w:rsid w:val="005610CE"/>
    <w:rsid w:val="00582846"/>
    <w:rsid w:val="005837C8"/>
    <w:rsid w:val="005849E1"/>
    <w:rsid w:val="00585969"/>
    <w:rsid w:val="0058619B"/>
    <w:rsid w:val="00590C3B"/>
    <w:rsid w:val="00590DDA"/>
    <w:rsid w:val="00592610"/>
    <w:rsid w:val="00593B2E"/>
    <w:rsid w:val="005954AB"/>
    <w:rsid w:val="00596E8A"/>
    <w:rsid w:val="005A107D"/>
    <w:rsid w:val="005A2560"/>
    <w:rsid w:val="005A2737"/>
    <w:rsid w:val="005A6CCC"/>
    <w:rsid w:val="005B3CB9"/>
    <w:rsid w:val="005B7874"/>
    <w:rsid w:val="005C5E2B"/>
    <w:rsid w:val="005C5FC6"/>
    <w:rsid w:val="005C68A0"/>
    <w:rsid w:val="005D3E8B"/>
    <w:rsid w:val="005D4281"/>
    <w:rsid w:val="005D70F2"/>
    <w:rsid w:val="005D7E00"/>
    <w:rsid w:val="005E09D5"/>
    <w:rsid w:val="005E0DFB"/>
    <w:rsid w:val="005E16AC"/>
    <w:rsid w:val="005E16D0"/>
    <w:rsid w:val="005E2F8B"/>
    <w:rsid w:val="005E4FC9"/>
    <w:rsid w:val="005E586C"/>
    <w:rsid w:val="005E6D3E"/>
    <w:rsid w:val="005F132A"/>
    <w:rsid w:val="005F1CB2"/>
    <w:rsid w:val="005F2548"/>
    <w:rsid w:val="005F36FE"/>
    <w:rsid w:val="005F59F2"/>
    <w:rsid w:val="005F687E"/>
    <w:rsid w:val="005F7B80"/>
    <w:rsid w:val="006114E6"/>
    <w:rsid w:val="006138EE"/>
    <w:rsid w:val="00614C54"/>
    <w:rsid w:val="00615365"/>
    <w:rsid w:val="00617649"/>
    <w:rsid w:val="006176B2"/>
    <w:rsid w:val="00617E88"/>
    <w:rsid w:val="00622EDA"/>
    <w:rsid w:val="006253C2"/>
    <w:rsid w:val="00626661"/>
    <w:rsid w:val="00627AB0"/>
    <w:rsid w:val="00627DB1"/>
    <w:rsid w:val="00630F4E"/>
    <w:rsid w:val="00631EA7"/>
    <w:rsid w:val="006335B8"/>
    <w:rsid w:val="0063579F"/>
    <w:rsid w:val="00637CFD"/>
    <w:rsid w:val="00641D2D"/>
    <w:rsid w:val="00644B77"/>
    <w:rsid w:val="0065286E"/>
    <w:rsid w:val="00652D2A"/>
    <w:rsid w:val="00653981"/>
    <w:rsid w:val="00655CDF"/>
    <w:rsid w:val="00657822"/>
    <w:rsid w:val="00657E30"/>
    <w:rsid w:val="00664364"/>
    <w:rsid w:val="0066452D"/>
    <w:rsid w:val="00671AC9"/>
    <w:rsid w:val="006727B2"/>
    <w:rsid w:val="006733B0"/>
    <w:rsid w:val="00673402"/>
    <w:rsid w:val="006765F2"/>
    <w:rsid w:val="00682A59"/>
    <w:rsid w:val="0068526C"/>
    <w:rsid w:val="00686CDE"/>
    <w:rsid w:val="006874F7"/>
    <w:rsid w:val="00690CFB"/>
    <w:rsid w:val="0069525B"/>
    <w:rsid w:val="00697F60"/>
    <w:rsid w:val="006A1D8C"/>
    <w:rsid w:val="006A45F1"/>
    <w:rsid w:val="006B08DC"/>
    <w:rsid w:val="006B3E45"/>
    <w:rsid w:val="006B4D3A"/>
    <w:rsid w:val="006B6A37"/>
    <w:rsid w:val="006D22B7"/>
    <w:rsid w:val="006D3933"/>
    <w:rsid w:val="006D4C8B"/>
    <w:rsid w:val="006D5B2D"/>
    <w:rsid w:val="006E14E2"/>
    <w:rsid w:val="006E5422"/>
    <w:rsid w:val="006E5EFC"/>
    <w:rsid w:val="006E6457"/>
    <w:rsid w:val="006F485C"/>
    <w:rsid w:val="006F764A"/>
    <w:rsid w:val="006F7B8A"/>
    <w:rsid w:val="00700BE9"/>
    <w:rsid w:val="00710505"/>
    <w:rsid w:val="0071527C"/>
    <w:rsid w:val="0072090D"/>
    <w:rsid w:val="00725F1B"/>
    <w:rsid w:val="0073307B"/>
    <w:rsid w:val="00733D25"/>
    <w:rsid w:val="00734EC1"/>
    <w:rsid w:val="007351BB"/>
    <w:rsid w:val="00737AD6"/>
    <w:rsid w:val="0074143E"/>
    <w:rsid w:val="00741B68"/>
    <w:rsid w:val="0074241F"/>
    <w:rsid w:val="007430AF"/>
    <w:rsid w:val="0074504D"/>
    <w:rsid w:val="0074637E"/>
    <w:rsid w:val="00747959"/>
    <w:rsid w:val="007536C4"/>
    <w:rsid w:val="00760F38"/>
    <w:rsid w:val="00762876"/>
    <w:rsid w:val="007641F6"/>
    <w:rsid w:val="007646E1"/>
    <w:rsid w:val="0076470D"/>
    <w:rsid w:val="00764A70"/>
    <w:rsid w:val="00771BAF"/>
    <w:rsid w:val="007753E1"/>
    <w:rsid w:val="00775445"/>
    <w:rsid w:val="007823D6"/>
    <w:rsid w:val="00782D43"/>
    <w:rsid w:val="00785CF1"/>
    <w:rsid w:val="007867BB"/>
    <w:rsid w:val="00787BC1"/>
    <w:rsid w:val="00792443"/>
    <w:rsid w:val="00793362"/>
    <w:rsid w:val="0079385F"/>
    <w:rsid w:val="00794DCB"/>
    <w:rsid w:val="007A1AF2"/>
    <w:rsid w:val="007A28B8"/>
    <w:rsid w:val="007A7BFC"/>
    <w:rsid w:val="007B09A7"/>
    <w:rsid w:val="007B09F9"/>
    <w:rsid w:val="007B0BF1"/>
    <w:rsid w:val="007B2527"/>
    <w:rsid w:val="007B53B8"/>
    <w:rsid w:val="007B6021"/>
    <w:rsid w:val="007C7D68"/>
    <w:rsid w:val="007D3F58"/>
    <w:rsid w:val="007D45BE"/>
    <w:rsid w:val="007E259E"/>
    <w:rsid w:val="007E7F35"/>
    <w:rsid w:val="007F43B2"/>
    <w:rsid w:val="007F5046"/>
    <w:rsid w:val="007F583D"/>
    <w:rsid w:val="007F6172"/>
    <w:rsid w:val="00800E9F"/>
    <w:rsid w:val="00805105"/>
    <w:rsid w:val="00814543"/>
    <w:rsid w:val="008165E9"/>
    <w:rsid w:val="00816713"/>
    <w:rsid w:val="00817A50"/>
    <w:rsid w:val="008227AD"/>
    <w:rsid w:val="00824440"/>
    <w:rsid w:val="00834D15"/>
    <w:rsid w:val="00840613"/>
    <w:rsid w:val="00843975"/>
    <w:rsid w:val="00845FBE"/>
    <w:rsid w:val="00846EFE"/>
    <w:rsid w:val="00851684"/>
    <w:rsid w:val="0085190E"/>
    <w:rsid w:val="00851A88"/>
    <w:rsid w:val="008542B4"/>
    <w:rsid w:val="00855F58"/>
    <w:rsid w:val="008571C3"/>
    <w:rsid w:val="008577C6"/>
    <w:rsid w:val="00860208"/>
    <w:rsid w:val="00864CCA"/>
    <w:rsid w:val="0086660F"/>
    <w:rsid w:val="00867458"/>
    <w:rsid w:val="008718AF"/>
    <w:rsid w:val="00872FC5"/>
    <w:rsid w:val="00874E2D"/>
    <w:rsid w:val="00876496"/>
    <w:rsid w:val="00876B92"/>
    <w:rsid w:val="0088289C"/>
    <w:rsid w:val="008830DE"/>
    <w:rsid w:val="00883A0F"/>
    <w:rsid w:val="00886131"/>
    <w:rsid w:val="00893255"/>
    <w:rsid w:val="00896751"/>
    <w:rsid w:val="00897BF3"/>
    <w:rsid w:val="008A1AE5"/>
    <w:rsid w:val="008A4DCA"/>
    <w:rsid w:val="008A5469"/>
    <w:rsid w:val="008A6897"/>
    <w:rsid w:val="008A7848"/>
    <w:rsid w:val="008B062E"/>
    <w:rsid w:val="008B2B03"/>
    <w:rsid w:val="008B4028"/>
    <w:rsid w:val="008B50BF"/>
    <w:rsid w:val="008B588B"/>
    <w:rsid w:val="008C17EB"/>
    <w:rsid w:val="008C1C94"/>
    <w:rsid w:val="008D3F6C"/>
    <w:rsid w:val="008D5DA7"/>
    <w:rsid w:val="008F404E"/>
    <w:rsid w:val="008F4FCF"/>
    <w:rsid w:val="008F69D2"/>
    <w:rsid w:val="00917044"/>
    <w:rsid w:val="00917CAC"/>
    <w:rsid w:val="00921040"/>
    <w:rsid w:val="00922947"/>
    <w:rsid w:val="00926E1D"/>
    <w:rsid w:val="00931709"/>
    <w:rsid w:val="00933004"/>
    <w:rsid w:val="009342F2"/>
    <w:rsid w:val="009344E4"/>
    <w:rsid w:val="009358F0"/>
    <w:rsid w:val="009362EC"/>
    <w:rsid w:val="00937616"/>
    <w:rsid w:val="0094472C"/>
    <w:rsid w:val="00951AB0"/>
    <w:rsid w:val="00961DCC"/>
    <w:rsid w:val="0096336F"/>
    <w:rsid w:val="00967A39"/>
    <w:rsid w:val="00967BC8"/>
    <w:rsid w:val="00971B3F"/>
    <w:rsid w:val="009734DA"/>
    <w:rsid w:val="00980980"/>
    <w:rsid w:val="009927E4"/>
    <w:rsid w:val="00992A6E"/>
    <w:rsid w:val="00994201"/>
    <w:rsid w:val="009A3374"/>
    <w:rsid w:val="009A4AE3"/>
    <w:rsid w:val="009A5699"/>
    <w:rsid w:val="009A711B"/>
    <w:rsid w:val="009B0F40"/>
    <w:rsid w:val="009B10C7"/>
    <w:rsid w:val="009B32BC"/>
    <w:rsid w:val="009B4836"/>
    <w:rsid w:val="009B7AEF"/>
    <w:rsid w:val="009C5372"/>
    <w:rsid w:val="009D1B2E"/>
    <w:rsid w:val="009D4258"/>
    <w:rsid w:val="009D4DE2"/>
    <w:rsid w:val="009E2EC2"/>
    <w:rsid w:val="009E6883"/>
    <w:rsid w:val="009E6ADD"/>
    <w:rsid w:val="009F15E0"/>
    <w:rsid w:val="00A009BF"/>
    <w:rsid w:val="00A01017"/>
    <w:rsid w:val="00A029CE"/>
    <w:rsid w:val="00A04351"/>
    <w:rsid w:val="00A05E0C"/>
    <w:rsid w:val="00A06A6F"/>
    <w:rsid w:val="00A06BB4"/>
    <w:rsid w:val="00A15AF2"/>
    <w:rsid w:val="00A15EFE"/>
    <w:rsid w:val="00A20028"/>
    <w:rsid w:val="00A211CC"/>
    <w:rsid w:val="00A3604E"/>
    <w:rsid w:val="00A362A9"/>
    <w:rsid w:val="00A37714"/>
    <w:rsid w:val="00A405AA"/>
    <w:rsid w:val="00A42877"/>
    <w:rsid w:val="00A460D5"/>
    <w:rsid w:val="00A50742"/>
    <w:rsid w:val="00A51D64"/>
    <w:rsid w:val="00A54B8A"/>
    <w:rsid w:val="00A57542"/>
    <w:rsid w:val="00A67D8B"/>
    <w:rsid w:val="00A70522"/>
    <w:rsid w:val="00A8197B"/>
    <w:rsid w:val="00A82654"/>
    <w:rsid w:val="00A94524"/>
    <w:rsid w:val="00A97D87"/>
    <w:rsid w:val="00AB1DC3"/>
    <w:rsid w:val="00AB3317"/>
    <w:rsid w:val="00AB79B6"/>
    <w:rsid w:val="00AC3F77"/>
    <w:rsid w:val="00AD20E5"/>
    <w:rsid w:val="00AD22F5"/>
    <w:rsid w:val="00AD50BB"/>
    <w:rsid w:val="00AD7F63"/>
    <w:rsid w:val="00AE606F"/>
    <w:rsid w:val="00AE7E92"/>
    <w:rsid w:val="00AF242C"/>
    <w:rsid w:val="00AF48C0"/>
    <w:rsid w:val="00AF629F"/>
    <w:rsid w:val="00AF6928"/>
    <w:rsid w:val="00B0292B"/>
    <w:rsid w:val="00B04D41"/>
    <w:rsid w:val="00B05853"/>
    <w:rsid w:val="00B072EB"/>
    <w:rsid w:val="00B10F18"/>
    <w:rsid w:val="00B21E6D"/>
    <w:rsid w:val="00B25109"/>
    <w:rsid w:val="00B25509"/>
    <w:rsid w:val="00B2686C"/>
    <w:rsid w:val="00B31B53"/>
    <w:rsid w:val="00B33573"/>
    <w:rsid w:val="00B36B1B"/>
    <w:rsid w:val="00B458CD"/>
    <w:rsid w:val="00B4625D"/>
    <w:rsid w:val="00B4666A"/>
    <w:rsid w:val="00B4763A"/>
    <w:rsid w:val="00B508E7"/>
    <w:rsid w:val="00B52415"/>
    <w:rsid w:val="00B57564"/>
    <w:rsid w:val="00B62FFD"/>
    <w:rsid w:val="00B63C44"/>
    <w:rsid w:val="00B65F0C"/>
    <w:rsid w:val="00B66F84"/>
    <w:rsid w:val="00B719CE"/>
    <w:rsid w:val="00B729A0"/>
    <w:rsid w:val="00B73C79"/>
    <w:rsid w:val="00B7439D"/>
    <w:rsid w:val="00B82A2C"/>
    <w:rsid w:val="00B83DA2"/>
    <w:rsid w:val="00B91335"/>
    <w:rsid w:val="00B91ED3"/>
    <w:rsid w:val="00B920E5"/>
    <w:rsid w:val="00B97423"/>
    <w:rsid w:val="00B97692"/>
    <w:rsid w:val="00BA3066"/>
    <w:rsid w:val="00BA314E"/>
    <w:rsid w:val="00BA37E1"/>
    <w:rsid w:val="00BA4923"/>
    <w:rsid w:val="00BA5F27"/>
    <w:rsid w:val="00BA6836"/>
    <w:rsid w:val="00BA69B5"/>
    <w:rsid w:val="00BB0DCA"/>
    <w:rsid w:val="00BB318D"/>
    <w:rsid w:val="00BB694F"/>
    <w:rsid w:val="00BB78B1"/>
    <w:rsid w:val="00BC27DC"/>
    <w:rsid w:val="00BC2C47"/>
    <w:rsid w:val="00BC2F0D"/>
    <w:rsid w:val="00BC2F78"/>
    <w:rsid w:val="00BC5788"/>
    <w:rsid w:val="00BC5DCA"/>
    <w:rsid w:val="00BC6331"/>
    <w:rsid w:val="00BD1050"/>
    <w:rsid w:val="00BE3E36"/>
    <w:rsid w:val="00BE569F"/>
    <w:rsid w:val="00BE698C"/>
    <w:rsid w:val="00BE7E93"/>
    <w:rsid w:val="00BF0C8F"/>
    <w:rsid w:val="00BF15DE"/>
    <w:rsid w:val="00BF3F2E"/>
    <w:rsid w:val="00C00863"/>
    <w:rsid w:val="00C00CD9"/>
    <w:rsid w:val="00C03FBB"/>
    <w:rsid w:val="00C04352"/>
    <w:rsid w:val="00C05602"/>
    <w:rsid w:val="00C15E7E"/>
    <w:rsid w:val="00C2530F"/>
    <w:rsid w:val="00C256C0"/>
    <w:rsid w:val="00C36842"/>
    <w:rsid w:val="00C36846"/>
    <w:rsid w:val="00C408F8"/>
    <w:rsid w:val="00C410E4"/>
    <w:rsid w:val="00C44F07"/>
    <w:rsid w:val="00C450C2"/>
    <w:rsid w:val="00C50212"/>
    <w:rsid w:val="00C50DC5"/>
    <w:rsid w:val="00C53E34"/>
    <w:rsid w:val="00C54531"/>
    <w:rsid w:val="00C550A4"/>
    <w:rsid w:val="00C56BD6"/>
    <w:rsid w:val="00C6127B"/>
    <w:rsid w:val="00C6133C"/>
    <w:rsid w:val="00C6304A"/>
    <w:rsid w:val="00C65794"/>
    <w:rsid w:val="00C657D3"/>
    <w:rsid w:val="00C679C5"/>
    <w:rsid w:val="00C705B5"/>
    <w:rsid w:val="00C72110"/>
    <w:rsid w:val="00C73289"/>
    <w:rsid w:val="00C76799"/>
    <w:rsid w:val="00C84DE1"/>
    <w:rsid w:val="00C904D2"/>
    <w:rsid w:val="00C907C0"/>
    <w:rsid w:val="00C9264B"/>
    <w:rsid w:val="00C92D96"/>
    <w:rsid w:val="00C95639"/>
    <w:rsid w:val="00C95A7C"/>
    <w:rsid w:val="00C97E14"/>
    <w:rsid w:val="00CA50F9"/>
    <w:rsid w:val="00CB3430"/>
    <w:rsid w:val="00CB35C2"/>
    <w:rsid w:val="00CB4C18"/>
    <w:rsid w:val="00CB5E13"/>
    <w:rsid w:val="00CC1949"/>
    <w:rsid w:val="00CC5C5C"/>
    <w:rsid w:val="00CD27EE"/>
    <w:rsid w:val="00CD5055"/>
    <w:rsid w:val="00CE501D"/>
    <w:rsid w:val="00CE5734"/>
    <w:rsid w:val="00CE5AA5"/>
    <w:rsid w:val="00CE65B4"/>
    <w:rsid w:val="00CF48BA"/>
    <w:rsid w:val="00D00432"/>
    <w:rsid w:val="00D0283D"/>
    <w:rsid w:val="00D0751C"/>
    <w:rsid w:val="00D101DD"/>
    <w:rsid w:val="00D12396"/>
    <w:rsid w:val="00D1461E"/>
    <w:rsid w:val="00D20784"/>
    <w:rsid w:val="00D22292"/>
    <w:rsid w:val="00D2260C"/>
    <w:rsid w:val="00D258B9"/>
    <w:rsid w:val="00D25B90"/>
    <w:rsid w:val="00D3008A"/>
    <w:rsid w:val="00D34D59"/>
    <w:rsid w:val="00D44964"/>
    <w:rsid w:val="00D4777D"/>
    <w:rsid w:val="00D53E37"/>
    <w:rsid w:val="00D555F9"/>
    <w:rsid w:val="00D61DBF"/>
    <w:rsid w:val="00D62EBC"/>
    <w:rsid w:val="00D665CA"/>
    <w:rsid w:val="00D711EF"/>
    <w:rsid w:val="00D71CA1"/>
    <w:rsid w:val="00D75A43"/>
    <w:rsid w:val="00D761FD"/>
    <w:rsid w:val="00D81A6D"/>
    <w:rsid w:val="00D84528"/>
    <w:rsid w:val="00D910AB"/>
    <w:rsid w:val="00D9387A"/>
    <w:rsid w:val="00D9523C"/>
    <w:rsid w:val="00D95D63"/>
    <w:rsid w:val="00DA0B04"/>
    <w:rsid w:val="00DA6D03"/>
    <w:rsid w:val="00DB3E32"/>
    <w:rsid w:val="00DB4B02"/>
    <w:rsid w:val="00DB576E"/>
    <w:rsid w:val="00DB623A"/>
    <w:rsid w:val="00DC024C"/>
    <w:rsid w:val="00DC1E38"/>
    <w:rsid w:val="00DC5074"/>
    <w:rsid w:val="00DC5317"/>
    <w:rsid w:val="00DC5337"/>
    <w:rsid w:val="00DC761E"/>
    <w:rsid w:val="00DD2CD2"/>
    <w:rsid w:val="00DD5820"/>
    <w:rsid w:val="00DE082C"/>
    <w:rsid w:val="00DF3BD9"/>
    <w:rsid w:val="00DF4A79"/>
    <w:rsid w:val="00DF5C6C"/>
    <w:rsid w:val="00E01E2D"/>
    <w:rsid w:val="00E04AA9"/>
    <w:rsid w:val="00E06B7B"/>
    <w:rsid w:val="00E06E1A"/>
    <w:rsid w:val="00E0716A"/>
    <w:rsid w:val="00E173A4"/>
    <w:rsid w:val="00E201CC"/>
    <w:rsid w:val="00E21733"/>
    <w:rsid w:val="00E327E1"/>
    <w:rsid w:val="00E3316A"/>
    <w:rsid w:val="00E332EA"/>
    <w:rsid w:val="00E36443"/>
    <w:rsid w:val="00E37F44"/>
    <w:rsid w:val="00E43584"/>
    <w:rsid w:val="00E43F0C"/>
    <w:rsid w:val="00E44335"/>
    <w:rsid w:val="00E464B4"/>
    <w:rsid w:val="00E538DF"/>
    <w:rsid w:val="00E553DE"/>
    <w:rsid w:val="00E659C8"/>
    <w:rsid w:val="00E70AFD"/>
    <w:rsid w:val="00E73027"/>
    <w:rsid w:val="00E7783A"/>
    <w:rsid w:val="00E7786B"/>
    <w:rsid w:val="00E863F6"/>
    <w:rsid w:val="00E93F02"/>
    <w:rsid w:val="00EA30B6"/>
    <w:rsid w:val="00EA3440"/>
    <w:rsid w:val="00EA4F77"/>
    <w:rsid w:val="00EA59F5"/>
    <w:rsid w:val="00EB27BE"/>
    <w:rsid w:val="00EB6FE2"/>
    <w:rsid w:val="00EC2F22"/>
    <w:rsid w:val="00EC389F"/>
    <w:rsid w:val="00EC3D46"/>
    <w:rsid w:val="00EC4617"/>
    <w:rsid w:val="00EC4D87"/>
    <w:rsid w:val="00EC550F"/>
    <w:rsid w:val="00EC72C9"/>
    <w:rsid w:val="00EC7840"/>
    <w:rsid w:val="00EC7C54"/>
    <w:rsid w:val="00ED0822"/>
    <w:rsid w:val="00ED2CA4"/>
    <w:rsid w:val="00ED5A72"/>
    <w:rsid w:val="00ED6B42"/>
    <w:rsid w:val="00ED760A"/>
    <w:rsid w:val="00ED7A7D"/>
    <w:rsid w:val="00EE5491"/>
    <w:rsid w:val="00EF007C"/>
    <w:rsid w:val="00EF2DD8"/>
    <w:rsid w:val="00EF52DD"/>
    <w:rsid w:val="00EF6EB4"/>
    <w:rsid w:val="00EF7549"/>
    <w:rsid w:val="00EF78BE"/>
    <w:rsid w:val="00F009C1"/>
    <w:rsid w:val="00F011B1"/>
    <w:rsid w:val="00F04CDB"/>
    <w:rsid w:val="00F04EB6"/>
    <w:rsid w:val="00F11C2A"/>
    <w:rsid w:val="00F1399F"/>
    <w:rsid w:val="00F15132"/>
    <w:rsid w:val="00F22746"/>
    <w:rsid w:val="00F26570"/>
    <w:rsid w:val="00F30FA2"/>
    <w:rsid w:val="00F32CF9"/>
    <w:rsid w:val="00F41184"/>
    <w:rsid w:val="00F441FD"/>
    <w:rsid w:val="00F45423"/>
    <w:rsid w:val="00F5138A"/>
    <w:rsid w:val="00F51F23"/>
    <w:rsid w:val="00F53F85"/>
    <w:rsid w:val="00F603D7"/>
    <w:rsid w:val="00F612F7"/>
    <w:rsid w:val="00F664FA"/>
    <w:rsid w:val="00F679CE"/>
    <w:rsid w:val="00F71A35"/>
    <w:rsid w:val="00F72A14"/>
    <w:rsid w:val="00F746E9"/>
    <w:rsid w:val="00F769DA"/>
    <w:rsid w:val="00F81397"/>
    <w:rsid w:val="00F82675"/>
    <w:rsid w:val="00F82B60"/>
    <w:rsid w:val="00F84F5C"/>
    <w:rsid w:val="00F870D9"/>
    <w:rsid w:val="00F930B1"/>
    <w:rsid w:val="00F95DDE"/>
    <w:rsid w:val="00F9768A"/>
    <w:rsid w:val="00FA0423"/>
    <w:rsid w:val="00FB0B42"/>
    <w:rsid w:val="00FB287D"/>
    <w:rsid w:val="00FB2EFD"/>
    <w:rsid w:val="00FB4B18"/>
    <w:rsid w:val="00FB5F2E"/>
    <w:rsid w:val="00FB64FF"/>
    <w:rsid w:val="00FC15E7"/>
    <w:rsid w:val="00FC2DF2"/>
    <w:rsid w:val="00FC379C"/>
    <w:rsid w:val="00FC58D7"/>
    <w:rsid w:val="00FC5A48"/>
    <w:rsid w:val="00FC627B"/>
    <w:rsid w:val="00FC6DE7"/>
    <w:rsid w:val="00FD0D14"/>
    <w:rsid w:val="00FD1C58"/>
    <w:rsid w:val="00FD2E72"/>
    <w:rsid w:val="00FD3FC4"/>
    <w:rsid w:val="00FD56A0"/>
    <w:rsid w:val="00FD5A15"/>
    <w:rsid w:val="00FD7AE5"/>
    <w:rsid w:val="00FE0DB1"/>
    <w:rsid w:val="00FE2B30"/>
    <w:rsid w:val="00FE4112"/>
    <w:rsid w:val="00FE5C85"/>
    <w:rsid w:val="00FE7BD8"/>
    <w:rsid w:val="00FF00E8"/>
    <w:rsid w:val="00FF0FB8"/>
    <w:rsid w:val="00FF2286"/>
    <w:rsid w:val="00FF62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EC1"/>
    <w:pPr>
      <w:spacing w:line="25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 w:type="table" w:styleId="TableGrid">
    <w:name w:val="Table Grid"/>
    <w:basedOn w:val="TableNormal"/>
    <w:uiPriority w:val="39"/>
    <w:rsid w:val="0017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F69A0"/>
    <w:pPr>
      <w:spacing w:after="0" w:line="240" w:lineRule="auto"/>
    </w:pPr>
    <w:rPr>
      <w:rFonts w:eastAsiaTheme="minorHAns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4F69A0"/>
    <w:rPr>
      <w:kern w:val="2"/>
      <w:sz w:val="20"/>
      <w:szCs w:val="20"/>
      <w14:ligatures w14:val="standardContextual"/>
    </w:rPr>
  </w:style>
  <w:style w:type="character" w:styleId="FootnoteReference">
    <w:name w:val="footnote reference"/>
    <w:basedOn w:val="DefaultParagraphFont"/>
    <w:uiPriority w:val="99"/>
    <w:semiHidden/>
    <w:unhideWhenUsed/>
    <w:rsid w:val="004F69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7220996">
      <w:bodyDiv w:val="1"/>
      <w:marLeft w:val="0"/>
      <w:marRight w:val="0"/>
      <w:marTop w:val="0"/>
      <w:marBottom w:val="0"/>
      <w:divBdr>
        <w:top w:val="none" w:sz="0" w:space="0" w:color="auto"/>
        <w:left w:val="none" w:sz="0" w:space="0" w:color="auto"/>
        <w:bottom w:val="none" w:sz="0" w:space="0" w:color="auto"/>
        <w:right w:val="none" w:sz="0" w:space="0" w:color="auto"/>
      </w:divBdr>
    </w:div>
    <w:div w:id="27418456">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60952617">
      <w:bodyDiv w:val="1"/>
      <w:marLeft w:val="0"/>
      <w:marRight w:val="0"/>
      <w:marTop w:val="0"/>
      <w:marBottom w:val="0"/>
      <w:divBdr>
        <w:top w:val="none" w:sz="0" w:space="0" w:color="auto"/>
        <w:left w:val="none" w:sz="0" w:space="0" w:color="auto"/>
        <w:bottom w:val="none" w:sz="0" w:space="0" w:color="auto"/>
        <w:right w:val="none" w:sz="0" w:space="0" w:color="auto"/>
      </w:divBdr>
    </w:div>
    <w:div w:id="75131918">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4424126">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672608">
      <w:bodyDiv w:val="1"/>
      <w:marLeft w:val="0"/>
      <w:marRight w:val="0"/>
      <w:marTop w:val="0"/>
      <w:marBottom w:val="0"/>
      <w:divBdr>
        <w:top w:val="none" w:sz="0" w:space="0" w:color="auto"/>
        <w:left w:val="none" w:sz="0" w:space="0" w:color="auto"/>
        <w:bottom w:val="none" w:sz="0" w:space="0" w:color="auto"/>
        <w:right w:val="none" w:sz="0" w:space="0" w:color="auto"/>
      </w:divBdr>
    </w:div>
    <w:div w:id="104203685">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23931759">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51024185">
      <w:bodyDiv w:val="1"/>
      <w:marLeft w:val="0"/>
      <w:marRight w:val="0"/>
      <w:marTop w:val="0"/>
      <w:marBottom w:val="0"/>
      <w:divBdr>
        <w:top w:val="none" w:sz="0" w:space="0" w:color="auto"/>
        <w:left w:val="none" w:sz="0" w:space="0" w:color="auto"/>
        <w:bottom w:val="none" w:sz="0" w:space="0" w:color="auto"/>
        <w:right w:val="none" w:sz="0" w:space="0" w:color="auto"/>
      </w:divBdr>
    </w:div>
    <w:div w:id="154613284">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77277937">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4097929">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3760357">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1330762">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45921409">
      <w:bodyDiv w:val="1"/>
      <w:marLeft w:val="0"/>
      <w:marRight w:val="0"/>
      <w:marTop w:val="0"/>
      <w:marBottom w:val="0"/>
      <w:divBdr>
        <w:top w:val="none" w:sz="0" w:space="0" w:color="auto"/>
        <w:left w:val="none" w:sz="0" w:space="0" w:color="auto"/>
        <w:bottom w:val="none" w:sz="0" w:space="0" w:color="auto"/>
        <w:right w:val="none" w:sz="0" w:space="0" w:color="auto"/>
      </w:divBdr>
    </w:div>
    <w:div w:id="252202154">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2053013">
      <w:bodyDiv w:val="1"/>
      <w:marLeft w:val="0"/>
      <w:marRight w:val="0"/>
      <w:marTop w:val="0"/>
      <w:marBottom w:val="0"/>
      <w:divBdr>
        <w:top w:val="none" w:sz="0" w:space="0" w:color="auto"/>
        <w:left w:val="none" w:sz="0" w:space="0" w:color="auto"/>
        <w:bottom w:val="none" w:sz="0" w:space="0" w:color="auto"/>
        <w:right w:val="none" w:sz="0" w:space="0" w:color="auto"/>
      </w:divBdr>
    </w:div>
    <w:div w:id="284236983">
      <w:bodyDiv w:val="1"/>
      <w:marLeft w:val="0"/>
      <w:marRight w:val="0"/>
      <w:marTop w:val="0"/>
      <w:marBottom w:val="0"/>
      <w:divBdr>
        <w:top w:val="none" w:sz="0" w:space="0" w:color="auto"/>
        <w:left w:val="none" w:sz="0" w:space="0" w:color="auto"/>
        <w:bottom w:val="none" w:sz="0" w:space="0" w:color="auto"/>
        <w:right w:val="none" w:sz="0" w:space="0" w:color="auto"/>
      </w:divBdr>
    </w:div>
    <w:div w:id="312686159">
      <w:bodyDiv w:val="1"/>
      <w:marLeft w:val="0"/>
      <w:marRight w:val="0"/>
      <w:marTop w:val="0"/>
      <w:marBottom w:val="0"/>
      <w:divBdr>
        <w:top w:val="none" w:sz="0" w:space="0" w:color="auto"/>
        <w:left w:val="none" w:sz="0" w:space="0" w:color="auto"/>
        <w:bottom w:val="none" w:sz="0" w:space="0" w:color="auto"/>
        <w:right w:val="none" w:sz="0" w:space="0" w:color="auto"/>
      </w:divBdr>
    </w:div>
    <w:div w:id="347289815">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61398269">
      <w:bodyDiv w:val="1"/>
      <w:marLeft w:val="0"/>
      <w:marRight w:val="0"/>
      <w:marTop w:val="0"/>
      <w:marBottom w:val="0"/>
      <w:divBdr>
        <w:top w:val="none" w:sz="0" w:space="0" w:color="auto"/>
        <w:left w:val="none" w:sz="0" w:space="0" w:color="auto"/>
        <w:bottom w:val="none" w:sz="0" w:space="0" w:color="auto"/>
        <w:right w:val="none" w:sz="0" w:space="0" w:color="auto"/>
      </w:divBdr>
    </w:div>
    <w:div w:id="369577261">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4791260">
      <w:bodyDiv w:val="1"/>
      <w:marLeft w:val="0"/>
      <w:marRight w:val="0"/>
      <w:marTop w:val="0"/>
      <w:marBottom w:val="0"/>
      <w:divBdr>
        <w:top w:val="none" w:sz="0" w:space="0" w:color="auto"/>
        <w:left w:val="none" w:sz="0" w:space="0" w:color="auto"/>
        <w:bottom w:val="none" w:sz="0" w:space="0" w:color="auto"/>
        <w:right w:val="none" w:sz="0" w:space="0" w:color="auto"/>
      </w:divBdr>
    </w:div>
    <w:div w:id="398751184">
      <w:bodyDiv w:val="1"/>
      <w:marLeft w:val="0"/>
      <w:marRight w:val="0"/>
      <w:marTop w:val="0"/>
      <w:marBottom w:val="0"/>
      <w:divBdr>
        <w:top w:val="none" w:sz="0" w:space="0" w:color="auto"/>
        <w:left w:val="none" w:sz="0" w:space="0" w:color="auto"/>
        <w:bottom w:val="none" w:sz="0" w:space="0" w:color="auto"/>
        <w:right w:val="none" w:sz="0" w:space="0" w:color="auto"/>
      </w:divBdr>
    </w:div>
    <w:div w:id="405419692">
      <w:bodyDiv w:val="1"/>
      <w:marLeft w:val="0"/>
      <w:marRight w:val="0"/>
      <w:marTop w:val="0"/>
      <w:marBottom w:val="0"/>
      <w:divBdr>
        <w:top w:val="none" w:sz="0" w:space="0" w:color="auto"/>
        <w:left w:val="none" w:sz="0" w:space="0" w:color="auto"/>
        <w:bottom w:val="none" w:sz="0" w:space="0" w:color="auto"/>
        <w:right w:val="none" w:sz="0" w:space="0" w:color="auto"/>
      </w:divBdr>
    </w:div>
    <w:div w:id="409742225">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39449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44469169">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6357335">
      <w:bodyDiv w:val="1"/>
      <w:marLeft w:val="0"/>
      <w:marRight w:val="0"/>
      <w:marTop w:val="0"/>
      <w:marBottom w:val="0"/>
      <w:divBdr>
        <w:top w:val="none" w:sz="0" w:space="0" w:color="auto"/>
        <w:left w:val="none" w:sz="0" w:space="0" w:color="auto"/>
        <w:bottom w:val="none" w:sz="0" w:space="0" w:color="auto"/>
        <w:right w:val="none" w:sz="0" w:space="0" w:color="auto"/>
      </w:divBdr>
    </w:div>
    <w:div w:id="481774531">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4055560">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9898933">
      <w:bodyDiv w:val="1"/>
      <w:marLeft w:val="0"/>
      <w:marRight w:val="0"/>
      <w:marTop w:val="0"/>
      <w:marBottom w:val="0"/>
      <w:divBdr>
        <w:top w:val="none" w:sz="0" w:space="0" w:color="auto"/>
        <w:left w:val="none" w:sz="0" w:space="0" w:color="auto"/>
        <w:bottom w:val="none" w:sz="0" w:space="0" w:color="auto"/>
        <w:right w:val="none" w:sz="0" w:space="0" w:color="auto"/>
      </w:divBdr>
    </w:div>
    <w:div w:id="542206849">
      <w:bodyDiv w:val="1"/>
      <w:marLeft w:val="0"/>
      <w:marRight w:val="0"/>
      <w:marTop w:val="0"/>
      <w:marBottom w:val="0"/>
      <w:divBdr>
        <w:top w:val="none" w:sz="0" w:space="0" w:color="auto"/>
        <w:left w:val="none" w:sz="0" w:space="0" w:color="auto"/>
        <w:bottom w:val="none" w:sz="0" w:space="0" w:color="auto"/>
        <w:right w:val="none" w:sz="0" w:space="0" w:color="auto"/>
      </w:divBdr>
    </w:div>
    <w:div w:id="544606033">
      <w:bodyDiv w:val="1"/>
      <w:marLeft w:val="0"/>
      <w:marRight w:val="0"/>
      <w:marTop w:val="0"/>
      <w:marBottom w:val="0"/>
      <w:divBdr>
        <w:top w:val="none" w:sz="0" w:space="0" w:color="auto"/>
        <w:left w:val="none" w:sz="0" w:space="0" w:color="auto"/>
        <w:bottom w:val="none" w:sz="0" w:space="0" w:color="auto"/>
        <w:right w:val="none" w:sz="0" w:space="0" w:color="auto"/>
      </w:divBdr>
    </w:div>
    <w:div w:id="547687250">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72205534">
      <w:bodyDiv w:val="1"/>
      <w:marLeft w:val="0"/>
      <w:marRight w:val="0"/>
      <w:marTop w:val="0"/>
      <w:marBottom w:val="0"/>
      <w:divBdr>
        <w:top w:val="none" w:sz="0" w:space="0" w:color="auto"/>
        <w:left w:val="none" w:sz="0" w:space="0" w:color="auto"/>
        <w:bottom w:val="none" w:sz="0" w:space="0" w:color="auto"/>
        <w:right w:val="none" w:sz="0" w:space="0" w:color="auto"/>
      </w:divBdr>
    </w:div>
    <w:div w:id="580067877">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27784970">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52680555">
      <w:bodyDiv w:val="1"/>
      <w:marLeft w:val="0"/>
      <w:marRight w:val="0"/>
      <w:marTop w:val="0"/>
      <w:marBottom w:val="0"/>
      <w:divBdr>
        <w:top w:val="none" w:sz="0" w:space="0" w:color="auto"/>
        <w:left w:val="none" w:sz="0" w:space="0" w:color="auto"/>
        <w:bottom w:val="none" w:sz="0" w:space="0" w:color="auto"/>
        <w:right w:val="none" w:sz="0" w:space="0" w:color="auto"/>
      </w:divBdr>
    </w:div>
    <w:div w:id="674384490">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86294005">
      <w:bodyDiv w:val="1"/>
      <w:marLeft w:val="0"/>
      <w:marRight w:val="0"/>
      <w:marTop w:val="0"/>
      <w:marBottom w:val="0"/>
      <w:divBdr>
        <w:top w:val="none" w:sz="0" w:space="0" w:color="auto"/>
        <w:left w:val="none" w:sz="0" w:space="0" w:color="auto"/>
        <w:bottom w:val="none" w:sz="0" w:space="0" w:color="auto"/>
        <w:right w:val="none" w:sz="0" w:space="0" w:color="auto"/>
      </w:divBdr>
    </w:div>
    <w:div w:id="686711832">
      <w:bodyDiv w:val="1"/>
      <w:marLeft w:val="0"/>
      <w:marRight w:val="0"/>
      <w:marTop w:val="0"/>
      <w:marBottom w:val="0"/>
      <w:divBdr>
        <w:top w:val="none" w:sz="0" w:space="0" w:color="auto"/>
        <w:left w:val="none" w:sz="0" w:space="0" w:color="auto"/>
        <w:bottom w:val="none" w:sz="0" w:space="0" w:color="auto"/>
        <w:right w:val="none" w:sz="0" w:space="0" w:color="auto"/>
      </w:divBdr>
    </w:div>
    <w:div w:id="691493018">
      <w:bodyDiv w:val="1"/>
      <w:marLeft w:val="0"/>
      <w:marRight w:val="0"/>
      <w:marTop w:val="0"/>
      <w:marBottom w:val="0"/>
      <w:divBdr>
        <w:top w:val="none" w:sz="0" w:space="0" w:color="auto"/>
        <w:left w:val="none" w:sz="0" w:space="0" w:color="auto"/>
        <w:bottom w:val="none" w:sz="0" w:space="0" w:color="auto"/>
        <w:right w:val="none" w:sz="0" w:space="0" w:color="auto"/>
      </w:divBdr>
    </w:div>
    <w:div w:id="694236659">
      <w:bodyDiv w:val="1"/>
      <w:marLeft w:val="0"/>
      <w:marRight w:val="0"/>
      <w:marTop w:val="0"/>
      <w:marBottom w:val="0"/>
      <w:divBdr>
        <w:top w:val="none" w:sz="0" w:space="0" w:color="auto"/>
        <w:left w:val="none" w:sz="0" w:space="0" w:color="auto"/>
        <w:bottom w:val="none" w:sz="0" w:space="0" w:color="auto"/>
        <w:right w:val="none" w:sz="0" w:space="0" w:color="auto"/>
      </w:divBdr>
    </w:div>
    <w:div w:id="696738701">
      <w:bodyDiv w:val="1"/>
      <w:marLeft w:val="0"/>
      <w:marRight w:val="0"/>
      <w:marTop w:val="0"/>
      <w:marBottom w:val="0"/>
      <w:divBdr>
        <w:top w:val="none" w:sz="0" w:space="0" w:color="auto"/>
        <w:left w:val="none" w:sz="0" w:space="0" w:color="auto"/>
        <w:bottom w:val="none" w:sz="0" w:space="0" w:color="auto"/>
        <w:right w:val="none" w:sz="0" w:space="0" w:color="auto"/>
      </w:divBdr>
    </w:div>
    <w:div w:id="699555034">
      <w:bodyDiv w:val="1"/>
      <w:marLeft w:val="0"/>
      <w:marRight w:val="0"/>
      <w:marTop w:val="0"/>
      <w:marBottom w:val="0"/>
      <w:divBdr>
        <w:top w:val="none" w:sz="0" w:space="0" w:color="auto"/>
        <w:left w:val="none" w:sz="0" w:space="0" w:color="auto"/>
        <w:bottom w:val="none" w:sz="0" w:space="0" w:color="auto"/>
        <w:right w:val="none" w:sz="0" w:space="0" w:color="auto"/>
      </w:divBdr>
    </w:div>
    <w:div w:id="722873462">
      <w:bodyDiv w:val="1"/>
      <w:marLeft w:val="0"/>
      <w:marRight w:val="0"/>
      <w:marTop w:val="0"/>
      <w:marBottom w:val="0"/>
      <w:divBdr>
        <w:top w:val="none" w:sz="0" w:space="0" w:color="auto"/>
        <w:left w:val="none" w:sz="0" w:space="0" w:color="auto"/>
        <w:bottom w:val="none" w:sz="0" w:space="0" w:color="auto"/>
        <w:right w:val="none" w:sz="0" w:space="0" w:color="auto"/>
      </w:divBdr>
    </w:div>
    <w:div w:id="723717100">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5863701">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8136782">
      <w:bodyDiv w:val="1"/>
      <w:marLeft w:val="0"/>
      <w:marRight w:val="0"/>
      <w:marTop w:val="0"/>
      <w:marBottom w:val="0"/>
      <w:divBdr>
        <w:top w:val="none" w:sz="0" w:space="0" w:color="auto"/>
        <w:left w:val="none" w:sz="0" w:space="0" w:color="auto"/>
        <w:bottom w:val="none" w:sz="0" w:space="0" w:color="auto"/>
        <w:right w:val="none" w:sz="0" w:space="0" w:color="auto"/>
      </w:divBdr>
    </w:div>
    <w:div w:id="779908281">
      <w:bodyDiv w:val="1"/>
      <w:marLeft w:val="0"/>
      <w:marRight w:val="0"/>
      <w:marTop w:val="0"/>
      <w:marBottom w:val="0"/>
      <w:divBdr>
        <w:top w:val="none" w:sz="0" w:space="0" w:color="auto"/>
        <w:left w:val="none" w:sz="0" w:space="0" w:color="auto"/>
        <w:bottom w:val="none" w:sz="0" w:space="0" w:color="auto"/>
        <w:right w:val="none" w:sz="0" w:space="0" w:color="auto"/>
      </w:divBdr>
    </w:div>
    <w:div w:id="811021487">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1023506">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7237501">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66403810">
      <w:bodyDiv w:val="1"/>
      <w:marLeft w:val="0"/>
      <w:marRight w:val="0"/>
      <w:marTop w:val="0"/>
      <w:marBottom w:val="0"/>
      <w:divBdr>
        <w:top w:val="none" w:sz="0" w:space="0" w:color="auto"/>
        <w:left w:val="none" w:sz="0" w:space="0" w:color="auto"/>
        <w:bottom w:val="none" w:sz="0" w:space="0" w:color="auto"/>
        <w:right w:val="none" w:sz="0" w:space="0" w:color="auto"/>
      </w:divBdr>
    </w:div>
    <w:div w:id="88317490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8764227">
      <w:bodyDiv w:val="1"/>
      <w:marLeft w:val="0"/>
      <w:marRight w:val="0"/>
      <w:marTop w:val="0"/>
      <w:marBottom w:val="0"/>
      <w:divBdr>
        <w:top w:val="none" w:sz="0" w:space="0" w:color="auto"/>
        <w:left w:val="none" w:sz="0" w:space="0" w:color="auto"/>
        <w:bottom w:val="none" w:sz="0" w:space="0" w:color="auto"/>
        <w:right w:val="none" w:sz="0" w:space="0" w:color="auto"/>
      </w:divBdr>
    </w:div>
    <w:div w:id="890728945">
      <w:bodyDiv w:val="1"/>
      <w:marLeft w:val="0"/>
      <w:marRight w:val="0"/>
      <w:marTop w:val="0"/>
      <w:marBottom w:val="0"/>
      <w:divBdr>
        <w:top w:val="none" w:sz="0" w:space="0" w:color="auto"/>
        <w:left w:val="none" w:sz="0" w:space="0" w:color="auto"/>
        <w:bottom w:val="none" w:sz="0" w:space="0" w:color="auto"/>
        <w:right w:val="none" w:sz="0" w:space="0" w:color="auto"/>
      </w:divBdr>
    </w:div>
    <w:div w:id="903838045">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57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56064378">
      <w:bodyDiv w:val="1"/>
      <w:marLeft w:val="0"/>
      <w:marRight w:val="0"/>
      <w:marTop w:val="0"/>
      <w:marBottom w:val="0"/>
      <w:divBdr>
        <w:top w:val="none" w:sz="0" w:space="0" w:color="auto"/>
        <w:left w:val="none" w:sz="0" w:space="0" w:color="auto"/>
        <w:bottom w:val="none" w:sz="0" w:space="0" w:color="auto"/>
        <w:right w:val="none" w:sz="0" w:space="0" w:color="auto"/>
      </w:divBdr>
    </w:div>
    <w:div w:id="965818762">
      <w:bodyDiv w:val="1"/>
      <w:marLeft w:val="0"/>
      <w:marRight w:val="0"/>
      <w:marTop w:val="0"/>
      <w:marBottom w:val="0"/>
      <w:divBdr>
        <w:top w:val="none" w:sz="0" w:space="0" w:color="auto"/>
        <w:left w:val="none" w:sz="0" w:space="0" w:color="auto"/>
        <w:bottom w:val="none" w:sz="0" w:space="0" w:color="auto"/>
        <w:right w:val="none" w:sz="0" w:space="0" w:color="auto"/>
      </w:divBdr>
    </w:div>
    <w:div w:id="968127689">
      <w:bodyDiv w:val="1"/>
      <w:marLeft w:val="0"/>
      <w:marRight w:val="0"/>
      <w:marTop w:val="0"/>
      <w:marBottom w:val="0"/>
      <w:divBdr>
        <w:top w:val="none" w:sz="0" w:space="0" w:color="auto"/>
        <w:left w:val="none" w:sz="0" w:space="0" w:color="auto"/>
        <w:bottom w:val="none" w:sz="0" w:space="0" w:color="auto"/>
        <w:right w:val="none" w:sz="0" w:space="0" w:color="auto"/>
      </w:divBdr>
    </w:div>
    <w:div w:id="975916558">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91372126">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45178916">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8381389">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5855699">
      <w:bodyDiv w:val="1"/>
      <w:marLeft w:val="0"/>
      <w:marRight w:val="0"/>
      <w:marTop w:val="0"/>
      <w:marBottom w:val="0"/>
      <w:divBdr>
        <w:top w:val="none" w:sz="0" w:space="0" w:color="auto"/>
        <w:left w:val="none" w:sz="0" w:space="0" w:color="auto"/>
        <w:bottom w:val="none" w:sz="0" w:space="0" w:color="auto"/>
        <w:right w:val="none" w:sz="0" w:space="0" w:color="auto"/>
      </w:divBdr>
    </w:div>
    <w:div w:id="1079207476">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60849946">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0335154">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315053">
      <w:bodyDiv w:val="1"/>
      <w:marLeft w:val="0"/>
      <w:marRight w:val="0"/>
      <w:marTop w:val="0"/>
      <w:marBottom w:val="0"/>
      <w:divBdr>
        <w:top w:val="none" w:sz="0" w:space="0" w:color="auto"/>
        <w:left w:val="none" w:sz="0" w:space="0" w:color="auto"/>
        <w:bottom w:val="none" w:sz="0" w:space="0" w:color="auto"/>
        <w:right w:val="none" w:sz="0" w:space="0" w:color="auto"/>
      </w:divBdr>
    </w:div>
    <w:div w:id="1233389197">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63806781">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094838">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0616635">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37154199">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4627931">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6150998">
      <w:bodyDiv w:val="1"/>
      <w:marLeft w:val="0"/>
      <w:marRight w:val="0"/>
      <w:marTop w:val="0"/>
      <w:marBottom w:val="0"/>
      <w:divBdr>
        <w:top w:val="none" w:sz="0" w:space="0" w:color="auto"/>
        <w:left w:val="none" w:sz="0" w:space="0" w:color="auto"/>
        <w:bottom w:val="none" w:sz="0" w:space="0" w:color="auto"/>
        <w:right w:val="none" w:sz="0" w:space="0" w:color="auto"/>
      </w:divBdr>
    </w:div>
    <w:div w:id="1385258377">
      <w:bodyDiv w:val="1"/>
      <w:marLeft w:val="0"/>
      <w:marRight w:val="0"/>
      <w:marTop w:val="0"/>
      <w:marBottom w:val="0"/>
      <w:divBdr>
        <w:top w:val="none" w:sz="0" w:space="0" w:color="auto"/>
        <w:left w:val="none" w:sz="0" w:space="0" w:color="auto"/>
        <w:bottom w:val="none" w:sz="0" w:space="0" w:color="auto"/>
        <w:right w:val="none" w:sz="0" w:space="0" w:color="auto"/>
      </w:divBdr>
    </w:div>
    <w:div w:id="1388532382">
      <w:bodyDiv w:val="1"/>
      <w:marLeft w:val="0"/>
      <w:marRight w:val="0"/>
      <w:marTop w:val="0"/>
      <w:marBottom w:val="0"/>
      <w:divBdr>
        <w:top w:val="none" w:sz="0" w:space="0" w:color="auto"/>
        <w:left w:val="none" w:sz="0" w:space="0" w:color="auto"/>
        <w:bottom w:val="none" w:sz="0" w:space="0" w:color="auto"/>
        <w:right w:val="none" w:sz="0" w:space="0" w:color="auto"/>
      </w:divBdr>
    </w:div>
    <w:div w:id="1397241189">
      <w:bodyDiv w:val="1"/>
      <w:marLeft w:val="0"/>
      <w:marRight w:val="0"/>
      <w:marTop w:val="0"/>
      <w:marBottom w:val="0"/>
      <w:divBdr>
        <w:top w:val="none" w:sz="0" w:space="0" w:color="auto"/>
        <w:left w:val="none" w:sz="0" w:space="0" w:color="auto"/>
        <w:bottom w:val="none" w:sz="0" w:space="0" w:color="auto"/>
        <w:right w:val="none" w:sz="0" w:space="0" w:color="auto"/>
      </w:divBdr>
    </w:div>
    <w:div w:id="1403481505">
      <w:bodyDiv w:val="1"/>
      <w:marLeft w:val="0"/>
      <w:marRight w:val="0"/>
      <w:marTop w:val="0"/>
      <w:marBottom w:val="0"/>
      <w:divBdr>
        <w:top w:val="none" w:sz="0" w:space="0" w:color="auto"/>
        <w:left w:val="none" w:sz="0" w:space="0" w:color="auto"/>
        <w:bottom w:val="none" w:sz="0" w:space="0" w:color="auto"/>
        <w:right w:val="none" w:sz="0" w:space="0" w:color="auto"/>
      </w:divBdr>
    </w:div>
    <w:div w:id="1407414253">
      <w:bodyDiv w:val="1"/>
      <w:marLeft w:val="0"/>
      <w:marRight w:val="0"/>
      <w:marTop w:val="0"/>
      <w:marBottom w:val="0"/>
      <w:divBdr>
        <w:top w:val="none" w:sz="0" w:space="0" w:color="auto"/>
        <w:left w:val="none" w:sz="0" w:space="0" w:color="auto"/>
        <w:bottom w:val="none" w:sz="0" w:space="0" w:color="auto"/>
        <w:right w:val="none" w:sz="0" w:space="0" w:color="auto"/>
      </w:divBdr>
    </w:div>
    <w:div w:id="1414737732">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3547751">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672375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88615718">
      <w:bodyDiv w:val="1"/>
      <w:marLeft w:val="0"/>
      <w:marRight w:val="0"/>
      <w:marTop w:val="0"/>
      <w:marBottom w:val="0"/>
      <w:divBdr>
        <w:top w:val="none" w:sz="0" w:space="0" w:color="auto"/>
        <w:left w:val="none" w:sz="0" w:space="0" w:color="auto"/>
        <w:bottom w:val="none" w:sz="0" w:space="0" w:color="auto"/>
        <w:right w:val="none" w:sz="0" w:space="0" w:color="auto"/>
      </w:divBdr>
    </w:div>
    <w:div w:id="1600720204">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47532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68508604">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87294653">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1003928">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277210">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4285181">
      <w:bodyDiv w:val="1"/>
      <w:marLeft w:val="0"/>
      <w:marRight w:val="0"/>
      <w:marTop w:val="0"/>
      <w:marBottom w:val="0"/>
      <w:divBdr>
        <w:top w:val="none" w:sz="0" w:space="0" w:color="auto"/>
        <w:left w:val="none" w:sz="0" w:space="0" w:color="auto"/>
        <w:bottom w:val="none" w:sz="0" w:space="0" w:color="auto"/>
        <w:right w:val="none" w:sz="0" w:space="0" w:color="auto"/>
      </w:divBdr>
    </w:div>
    <w:div w:id="1774398139">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7744148">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33774827">
      <w:bodyDiv w:val="1"/>
      <w:marLeft w:val="0"/>
      <w:marRight w:val="0"/>
      <w:marTop w:val="0"/>
      <w:marBottom w:val="0"/>
      <w:divBdr>
        <w:top w:val="none" w:sz="0" w:space="0" w:color="auto"/>
        <w:left w:val="none" w:sz="0" w:space="0" w:color="auto"/>
        <w:bottom w:val="none" w:sz="0" w:space="0" w:color="auto"/>
        <w:right w:val="none" w:sz="0" w:space="0" w:color="auto"/>
      </w:divBdr>
    </w:div>
    <w:div w:id="1945646851">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8293404">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389918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3749863">
      <w:bodyDiv w:val="1"/>
      <w:marLeft w:val="0"/>
      <w:marRight w:val="0"/>
      <w:marTop w:val="0"/>
      <w:marBottom w:val="0"/>
      <w:divBdr>
        <w:top w:val="none" w:sz="0" w:space="0" w:color="auto"/>
        <w:left w:val="none" w:sz="0" w:space="0" w:color="auto"/>
        <w:bottom w:val="none" w:sz="0" w:space="0" w:color="auto"/>
        <w:right w:val="none" w:sz="0" w:space="0" w:color="auto"/>
      </w:divBdr>
    </w:div>
    <w:div w:id="2065253174">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5882051">
      <w:bodyDiv w:val="1"/>
      <w:marLeft w:val="0"/>
      <w:marRight w:val="0"/>
      <w:marTop w:val="0"/>
      <w:marBottom w:val="0"/>
      <w:divBdr>
        <w:top w:val="none" w:sz="0" w:space="0" w:color="auto"/>
        <w:left w:val="none" w:sz="0" w:space="0" w:color="auto"/>
        <w:bottom w:val="none" w:sz="0" w:space="0" w:color="auto"/>
        <w:right w:val="none" w:sz="0" w:space="0" w:color="auto"/>
      </w:divBdr>
    </w:div>
    <w:div w:id="2106338599">
      <w:bodyDiv w:val="1"/>
      <w:marLeft w:val="0"/>
      <w:marRight w:val="0"/>
      <w:marTop w:val="0"/>
      <w:marBottom w:val="0"/>
      <w:divBdr>
        <w:top w:val="none" w:sz="0" w:space="0" w:color="auto"/>
        <w:left w:val="none" w:sz="0" w:space="0" w:color="auto"/>
        <w:bottom w:val="none" w:sz="0" w:space="0" w:color="auto"/>
        <w:right w:val="none" w:sz="0" w:space="0" w:color="auto"/>
      </w:divBdr>
    </w:div>
    <w:div w:id="2118282477">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4692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dgm.com/documents/legal-framework/abu-dhabi-legislation/schedule-of-contraventions.pdf" TargetMode="External"/><Relationship Id="rId18" Type="http://schemas.openxmlformats.org/officeDocument/2006/relationships/hyperlink" Target="https://en.adgm.thomsonreuters.com/sites/default/files/net_file_store/Financial_Services_and_Markets_Amendment_No2_Regulations_April_2019.pdf" TargetMode="External"/><Relationship Id="rId26" Type="http://schemas.openxmlformats.org/officeDocument/2006/relationships/hyperlink" Target="https://en.adgm.thomsonreuters.com/sites/default/files/net_file_store/Financial_Services_and_Markets(Amendment%20No.%201)Regulations_2022.pdf" TargetMode="External"/><Relationship Id="rId39" Type="http://schemas.openxmlformats.org/officeDocument/2006/relationships/hyperlink" Target="https://www.adgm.com/documents/legal-framework/guidance-and-policy/fsra/guidance-regulatory-framework-for-fund-managers-of-venture-capital-funds-20231218.pdf" TargetMode="External"/><Relationship Id="rId21" Type="http://schemas.openxmlformats.org/officeDocument/2006/relationships/hyperlink" Target="https://en.adgm.thomsonreuters.com/sites/default/files/net_file_store/ADGM1547_19883_VER02240220.pdf" TargetMode="External"/><Relationship Id="rId34" Type="http://schemas.openxmlformats.org/officeDocument/2006/relationships/hyperlink" Target="https://www.adgm.com/documents/legal-framework/guidance-and-policy/fsra/guidance-virtual-asset-activities-in-adgm-20231218.pdf" TargetMode="External"/><Relationship Id="rId42" Type="http://schemas.openxmlformats.org/officeDocument/2006/relationships/hyperlink" Target="https://www.binance.com/en/square/post/1075297125385"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adgm.thomsonreuters.com/sites/default/files/net_file_store/Financial_Services_and_Markets_Amendment_No_2_Regulations_25_June_2018.pdf" TargetMode="External"/><Relationship Id="rId29" Type="http://schemas.openxmlformats.org/officeDocument/2006/relationships/hyperlink" Target="https://www.adgm.com/documents/legal-framework/public-consultations/2024/consultation-paper-no-7/consultation-paper-no-7-of-2024-frts.pdf" TargetMode="External"/><Relationship Id="rId11" Type="http://schemas.openxmlformats.org/officeDocument/2006/relationships/hyperlink" Target="https://www.adgm.com/adgm-courts" TargetMode="External"/><Relationship Id="rId24" Type="http://schemas.openxmlformats.org/officeDocument/2006/relationships/hyperlink" Target="https://www.sca.gov.ae/assets/747a7cdf/guidelines-for-financial-institutions-adopting-enabling-technologies-2021.aspx" TargetMode="External"/><Relationship Id="rId32" Type="http://schemas.openxmlformats.org/officeDocument/2006/relationships/hyperlink" Target="https://www.adgm.com/documents/setting-up/guidance/adgm-general-rulebook-gen-20231218.pdf?la=en&amp;hash=0D4B9C3100715B3A8C804D9A1ACB8F41" TargetMode="External"/><Relationship Id="rId37" Type="http://schemas.openxmlformats.org/officeDocument/2006/relationships/hyperlink" Target="https://www.sca.gov.ae/en/home.aspx" TargetMode="External"/><Relationship Id="rId40" Type="http://schemas.openxmlformats.org/officeDocument/2006/relationships/hyperlink" Target="https://www.fatf-gafi.org/en/home.html" TargetMode="External"/><Relationship Id="rId45" Type="http://schemas.openxmlformats.org/officeDocument/2006/relationships/hyperlink" Target="https://www.imf.org/en/Home"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adgm.com/financial-services-regulatory-authority" TargetMode="External"/><Relationship Id="rId19" Type="http://schemas.openxmlformats.org/officeDocument/2006/relationships/hyperlink" Target="https://en.adgm.thomsonreuters.com/sites/default/files/net_file_store/Financial_Services_and_Markets_(Amendment%20No%202)_Regulations_24_February_2020.pdf" TargetMode="External"/><Relationship Id="rId31" Type="http://schemas.openxmlformats.org/officeDocument/2006/relationships/hyperlink" Target="https://en.adgm.thomsonreuters.com/rulebook/fees-rules-fees-ver16181223" TargetMode="External"/><Relationship Id="rId44" Type="http://schemas.openxmlformats.org/officeDocument/2006/relationships/hyperlink" Target="https://www.wam.ae/en/details/1395302955778"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dgm.com/" TargetMode="External"/><Relationship Id="rId14" Type="http://schemas.openxmlformats.org/officeDocument/2006/relationships/hyperlink" Target="https://en.adgm.thomsonreuters.com/rulebook/financial-services-and-markets-regulations-2015-0" TargetMode="External"/><Relationship Id="rId22" Type="http://schemas.openxmlformats.org/officeDocument/2006/relationships/hyperlink" Target="https://en.adgm.thomsonreuters.com/sites/default/files/net_file_store/ADGM1547_19331_VER04240220.pdf" TargetMode="External"/><Relationship Id="rId27" Type="http://schemas.openxmlformats.org/officeDocument/2006/relationships/hyperlink" Target="https://www.adgm.com/documents/legal-framework/guidance-and-policy/fsra/guidance-virtual-asset-activities-in-adgm-20231218.pdf" TargetMode="External"/><Relationship Id="rId30" Type="http://schemas.openxmlformats.org/officeDocument/2006/relationships/hyperlink" Target="https://en.adgm.thomsonreuters.com/rulebook/conduct-business-rulebook-cobs-ver15150823" TargetMode="External"/><Relationship Id="rId35" Type="http://schemas.openxmlformats.org/officeDocument/2006/relationships/hyperlink" Target="https://www.adgm.com/media/announcements/proposed-regulatory-framework-for-the-issuance-of-fiat-referenced-tokens" TargetMode="External"/><Relationship Id="rId43" Type="http://schemas.openxmlformats.org/officeDocument/2006/relationships/hyperlink" Target="https://www.khaleejtimes.com/uae/local-plus/abu-dhabi-businessman-loses-20000-in-crypto-scam-after-mistaking-scammer-for-another-vendor" TargetMode="External"/><Relationship Id="rId48" Type="http://schemas.openxmlformats.org/officeDocument/2006/relationships/footer" Target="footer1.xml"/><Relationship Id="rId8" Type="http://schemas.openxmlformats.org/officeDocument/2006/relationships/hyperlink" Target="https://charltonsquantum.com/abu-dhabi-virtual-assets-regulation/" TargetMode="External"/><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adgm.com/" TargetMode="External"/><Relationship Id="rId17" Type="http://schemas.openxmlformats.org/officeDocument/2006/relationships/hyperlink" Target="https://en.adgm.thomsonreuters.com/sites/default/files/net_file_store/Financial_Services_and_Markets_Amendment_No_3_Regulations_4_July_2018.pdf" TargetMode="External"/><Relationship Id="rId25" Type="http://schemas.openxmlformats.org/officeDocument/2006/relationships/hyperlink" Target="https://en.adgm.thomsonreuters.com/sites/default/files/net_file_store/FSRA_Guiding_Principles_for_Virtual_Assets_Regulation_and_Supervision_(IA)_202209012_FINAL.pdf" TargetMode="External"/><Relationship Id="rId33" Type="http://schemas.openxmlformats.org/officeDocument/2006/relationships/hyperlink" Target="https://en.adgm.thomsonreuters.com/rulebook/market-infrastructure-rulebook-mir-ver08110724" TargetMode="External"/><Relationship Id="rId38" Type="http://schemas.openxmlformats.org/officeDocument/2006/relationships/hyperlink" Target="https://www.vara.ae/en/" TargetMode="External"/><Relationship Id="rId46" Type="http://schemas.openxmlformats.org/officeDocument/2006/relationships/header" Target="header1.xml"/><Relationship Id="rId20" Type="http://schemas.openxmlformats.org/officeDocument/2006/relationships/hyperlink" Target="https://en.adgm.thomsonreuters.com/sites/default/files/net_file_store/ADGM1547_13427_VER05110724.pdf" TargetMode="External"/><Relationship Id="rId41" Type="http://schemas.openxmlformats.org/officeDocument/2006/relationships/hyperlink" Target="https://meaacba.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adgm.thomsonreuters.com/sites/default/files/net_file_store/Financial_Services_and_Markets_Amendment_Regulations__2017.pdf" TargetMode="External"/><Relationship Id="rId23" Type="http://schemas.openxmlformats.org/officeDocument/2006/relationships/hyperlink" Target="https://en.adgm.thomsonreuters.com/sites/default/files/net_file_store/Financial_Services_and_Markets_(Amendment_No_2)_Regulations_2021.pdf" TargetMode="External"/><Relationship Id="rId28" Type="http://schemas.openxmlformats.org/officeDocument/2006/relationships/hyperlink" Target="https://en.adgm.thomsonreuters.com/sites/default/files/net_file_store/ADGM1547_26199_VER94959.pdf" TargetMode="External"/><Relationship Id="rId36" Type="http://schemas.openxmlformats.org/officeDocument/2006/relationships/hyperlink" Target="https://www.adgm.com/operating-in-adgm/financial-and-cyber-crime-prevention/aml" TargetMode="External"/><Relationship Id="rId4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9293</Words>
  <Characters>52973</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62142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Charlton</dc:creator>
  <cp:lastModifiedBy>Theresa Joy Lacatan</cp:lastModifiedBy>
  <cp:revision>3</cp:revision>
  <dcterms:created xsi:type="dcterms:W3CDTF">2025-04-01T01:25:00Z</dcterms:created>
  <dcterms:modified xsi:type="dcterms:W3CDTF">2025-04-01T01:36:00Z</dcterms:modified>
</cp:coreProperties>
</file>