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5BEA" w14:textId="63991D8D" w:rsidR="006F0712" w:rsidRDefault="006F0712" w:rsidP="006F0712">
      <w:pPr>
        <w:shd w:val="clear" w:color="auto" w:fill="000000"/>
        <w:jc w:val="center"/>
        <w:rPr>
          <w:rFonts w:ascii="Arial" w:eastAsia="Arial" w:hAnsi="Arial" w:cs="Arial"/>
          <w:color w:val="FFFFFF"/>
        </w:rPr>
      </w:pPr>
      <w:proofErr w:type="spellStart"/>
      <w:r>
        <w:rPr>
          <w:rFonts w:ascii="Arial" w:eastAsia="Arial" w:hAnsi="Arial" w:cs="Arial"/>
          <w:color w:val="FFFFFF"/>
        </w:rPr>
        <w:t>Charltons</w:t>
      </w:r>
      <w:proofErr w:type="spellEnd"/>
      <w:r>
        <w:rPr>
          <w:rFonts w:ascii="Arial" w:eastAsia="Arial" w:hAnsi="Arial" w:cs="Arial"/>
          <w:color w:val="FFFFFF"/>
        </w:rPr>
        <w:t xml:space="preserve"> Quantum – Quantum Updates 6</w:t>
      </w:r>
      <w:r>
        <w:rPr>
          <w:rFonts w:ascii="Arial" w:eastAsia="Arial" w:hAnsi="Arial" w:cs="Arial"/>
          <w:color w:val="FFFFFF"/>
        </w:rPr>
        <w:t>4</w:t>
      </w:r>
      <w:r>
        <w:rPr>
          <w:rFonts w:ascii="Arial" w:eastAsia="Arial" w:hAnsi="Arial" w:cs="Arial"/>
          <w:color w:val="FFFFFF"/>
        </w:rPr>
        <w:t xml:space="preserve"> – </w:t>
      </w:r>
      <w:r>
        <w:rPr>
          <w:rFonts w:ascii="Arial" w:eastAsia="Arial" w:hAnsi="Arial" w:cs="Arial"/>
          <w:color w:val="FFFFFF"/>
        </w:rPr>
        <w:t>February</w:t>
      </w:r>
      <w:r>
        <w:rPr>
          <w:rFonts w:ascii="Arial" w:eastAsia="Arial" w:hAnsi="Arial" w:cs="Arial"/>
          <w:color w:val="FFFFFF"/>
        </w:rPr>
        <w:t xml:space="preserve"> 2026</w:t>
      </w:r>
    </w:p>
    <w:p w14:paraId="5B8E6A89" w14:textId="27D55745" w:rsidR="00797132" w:rsidRPr="006F0712" w:rsidRDefault="006F0712" w:rsidP="006F0712">
      <w:pPr>
        <w:spacing w:after="200"/>
        <w:jc w:val="center"/>
        <w:rPr>
          <w:rStyle w:val="ad"/>
          <w:rFonts w:ascii="Arial" w:eastAsia="Arial" w:hAnsi="Arial" w:cs="Arial"/>
          <w:b w:val="0"/>
          <w:bCs w:val="0"/>
          <w:sz w:val="28"/>
          <w:szCs w:val="28"/>
        </w:rPr>
      </w:pPr>
      <w:r>
        <w:rPr>
          <w:rFonts w:ascii="Arial" w:eastAsia="Arial" w:hAnsi="Arial" w:cs="Arial"/>
          <w:color w:val="FFFFFF"/>
        </w:rPr>
        <w:br/>
      </w:r>
      <w:hyperlink r:id="rId7">
        <w:r>
          <w:rPr>
            <w:rFonts w:ascii="Arial" w:eastAsia="Arial" w:hAnsi="Arial" w:cs="Arial"/>
            <w:color w:val="1155CC"/>
            <w:sz w:val="28"/>
            <w:szCs w:val="28"/>
            <w:u w:val="single"/>
          </w:rPr>
          <w:t>Online version</w:t>
        </w:r>
      </w:hyperlink>
    </w:p>
    <w:p w14:paraId="56996E4E" w14:textId="61398BE3" w:rsidR="00797132" w:rsidRPr="00797132" w:rsidRDefault="00797132" w:rsidP="00797132">
      <w:pPr>
        <w:pStyle w:val="ac"/>
        <w:jc w:val="both"/>
        <w:rPr>
          <w:rFonts w:ascii="Calibri" w:hAnsi="Calibri" w:cs="Calibri"/>
          <w:color w:val="000000"/>
        </w:rPr>
      </w:pPr>
      <w:r w:rsidRPr="00797132">
        <w:rPr>
          <w:rStyle w:val="ad"/>
          <w:rFonts w:ascii="Calibri" w:eastAsiaTheme="majorEastAsia" w:hAnsi="Calibri" w:cs="Calibri"/>
          <w:color w:val="000000"/>
        </w:rPr>
        <w:t>Monetary Authority of Singapore</w:t>
      </w:r>
      <w:r w:rsidR="00947509">
        <w:rPr>
          <w:rStyle w:val="ad"/>
          <w:rFonts w:ascii="Calibri" w:eastAsiaTheme="majorEastAsia" w:hAnsi="Calibri" w:cs="Calibri"/>
          <w:color w:val="000000"/>
        </w:rPr>
        <w:t>:</w:t>
      </w:r>
      <w:r w:rsidRPr="00797132">
        <w:rPr>
          <w:rStyle w:val="ad"/>
          <w:rFonts w:ascii="Calibri" w:eastAsiaTheme="majorEastAsia" w:hAnsi="Calibri" w:cs="Calibri"/>
          <w:color w:val="000000"/>
        </w:rPr>
        <w:t xml:space="preserve"> Board Governance Update</w:t>
      </w:r>
      <w:r w:rsidR="00947509">
        <w:rPr>
          <w:rFonts w:ascii="Calibri" w:hAnsi="Calibri" w:cs="Calibri"/>
          <w:color w:val="000000"/>
        </w:rPr>
        <w:t xml:space="preserve"> &amp; </w:t>
      </w:r>
      <w:r w:rsidRPr="00797132">
        <w:rPr>
          <w:rStyle w:val="ad"/>
          <w:rFonts w:ascii="Calibri" w:eastAsiaTheme="majorEastAsia" w:hAnsi="Calibri" w:cs="Calibri"/>
          <w:color w:val="000000"/>
        </w:rPr>
        <w:t>Change in Board Roster With Effect From 1 January 2026</w:t>
      </w:r>
    </w:p>
    <w:p w14:paraId="572985C2" w14:textId="66CEEB40" w:rsidR="00797132" w:rsidRPr="00797132" w:rsidRDefault="00797132" w:rsidP="00797132">
      <w:pPr>
        <w:pStyle w:val="ac"/>
        <w:jc w:val="both"/>
        <w:rPr>
          <w:rFonts w:ascii="Calibri" w:hAnsi="Calibri" w:cs="Calibri"/>
          <w:color w:val="000000"/>
        </w:rPr>
      </w:pPr>
      <w:r w:rsidRPr="00797132">
        <w:rPr>
          <w:rFonts w:ascii="Calibri" w:hAnsi="Calibri" w:cs="Calibri"/>
          <w:color w:val="000000"/>
        </w:rPr>
        <w:t>On</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1 January 2026</w:t>
      </w:r>
      <w:r w:rsidRPr="00797132">
        <w:rPr>
          <w:rFonts w:ascii="Calibri" w:hAnsi="Calibri" w:cs="Calibri"/>
          <w:color w:val="000000"/>
        </w:rPr>
        <w:t>,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Monetary Authority of Singapore</w:t>
      </w:r>
      <w:r w:rsidRPr="00797132">
        <w:rPr>
          <w:rStyle w:val="apple-converted-space"/>
          <w:rFonts w:ascii="Calibri" w:eastAsiaTheme="majorEastAsia" w:hAnsi="Calibri" w:cs="Calibri"/>
          <w:color w:val="000000"/>
        </w:rPr>
        <w:t> </w:t>
      </w:r>
      <w:r w:rsidRPr="00797132">
        <w:rPr>
          <w:rFonts w:ascii="Calibri" w:hAnsi="Calibri" w:cs="Calibri"/>
          <w:color w:val="000000"/>
        </w:rPr>
        <w:t xml:space="preserve">announced an </w:t>
      </w:r>
      <w:hyperlink r:id="rId8" w:history="1">
        <w:r w:rsidRPr="006F0712">
          <w:rPr>
            <w:rStyle w:val="ae"/>
            <w:rFonts w:ascii="Calibri" w:hAnsi="Calibri" w:cs="Calibri"/>
            <w:color w:val="E97132" w:themeColor="accent2"/>
          </w:rPr>
          <w:t>updated Board roster</w:t>
        </w:r>
      </w:hyperlink>
      <w:r w:rsidRPr="00797132">
        <w:rPr>
          <w:rFonts w:ascii="Calibri" w:hAnsi="Calibri" w:cs="Calibri"/>
          <w:color w:val="000000"/>
        </w:rPr>
        <w:t>, formalising changes in its highest governance body following the relinquishment of board membership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Heng Swee Keat</w:t>
      </w:r>
      <w:r w:rsidRPr="00797132">
        <w:rPr>
          <w:rFonts w:ascii="Calibri" w:hAnsi="Calibri" w:cs="Calibri"/>
          <w:color w:val="000000"/>
        </w:rPr>
        <w:t>. The reconstituted Board continues to be chaired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Gan Kim Yong</w:t>
      </w:r>
      <w:r w:rsidRPr="00797132">
        <w:rPr>
          <w:rFonts w:ascii="Calibri" w:hAnsi="Calibri" w:cs="Calibri"/>
          <w:color w:val="000000"/>
        </w:rPr>
        <w:t xml:space="preserve">, Deputy Prime Minister and Minister for Trade and Industry. </w:t>
      </w:r>
    </w:p>
    <w:p w14:paraId="6EFD366B" w14:textId="77777777" w:rsidR="00797132" w:rsidRPr="00797132" w:rsidRDefault="00797132" w:rsidP="00797132">
      <w:pPr>
        <w:pStyle w:val="ac"/>
        <w:numPr>
          <w:ilvl w:val="0"/>
          <w:numId w:val="4"/>
        </w:numPr>
        <w:jc w:val="both"/>
        <w:rPr>
          <w:rFonts w:ascii="Calibri" w:hAnsi="Calibri" w:cs="Calibri"/>
          <w:color w:val="000000"/>
        </w:rPr>
      </w:pPr>
      <w:r w:rsidRPr="00797132">
        <w:rPr>
          <w:rStyle w:val="whitespace-normal"/>
          <w:rFonts w:ascii="Calibri" w:eastAsiaTheme="majorEastAsia" w:hAnsi="Calibri" w:cs="Calibri"/>
          <w:color w:val="000000"/>
        </w:rPr>
        <w:t>Gan Kim Yong</w:t>
      </w:r>
      <w:r w:rsidRPr="00797132">
        <w:rPr>
          <w:rStyle w:val="apple-converted-space"/>
          <w:rFonts w:ascii="Calibri" w:eastAsiaTheme="majorEastAsia" w:hAnsi="Calibri" w:cs="Calibri"/>
          <w:color w:val="000000"/>
        </w:rPr>
        <w:t> </w:t>
      </w:r>
      <w:r w:rsidRPr="00797132">
        <w:rPr>
          <w:rFonts w:ascii="Calibri" w:hAnsi="Calibri" w:cs="Calibri"/>
          <w:color w:val="000000"/>
        </w:rPr>
        <w:t>continues as Chairman of MAS, anchoring Board leadership in senior executive government authority.</w:t>
      </w:r>
    </w:p>
    <w:p w14:paraId="031DAA00" w14:textId="77777777" w:rsidR="00797132" w:rsidRPr="00797132" w:rsidRDefault="00797132" w:rsidP="00797132">
      <w:pPr>
        <w:pStyle w:val="ac"/>
        <w:numPr>
          <w:ilvl w:val="0"/>
          <w:numId w:val="4"/>
        </w:numPr>
        <w:jc w:val="both"/>
        <w:rPr>
          <w:rFonts w:ascii="Calibri" w:hAnsi="Calibri" w:cs="Calibri"/>
          <w:color w:val="000000"/>
        </w:rPr>
      </w:pPr>
      <w:r w:rsidRPr="00797132">
        <w:rPr>
          <w:rStyle w:val="whitespace-normal"/>
          <w:rFonts w:ascii="Calibri" w:eastAsiaTheme="majorEastAsia" w:hAnsi="Calibri" w:cs="Calibri"/>
          <w:color w:val="000000"/>
        </w:rPr>
        <w:t xml:space="preserve">Chee Hong </w:t>
      </w:r>
      <w:proofErr w:type="spellStart"/>
      <w:r w:rsidRPr="00797132">
        <w:rPr>
          <w:rStyle w:val="whitespace-normal"/>
          <w:rFonts w:ascii="Calibri" w:eastAsiaTheme="majorEastAsia" w:hAnsi="Calibri" w:cs="Calibri"/>
          <w:color w:val="000000"/>
        </w:rPr>
        <w:t>Tat</w:t>
      </w:r>
      <w:proofErr w:type="spellEnd"/>
      <w:r w:rsidRPr="00797132">
        <w:rPr>
          <w:rStyle w:val="apple-converted-space"/>
          <w:rFonts w:ascii="Calibri" w:eastAsiaTheme="majorEastAsia" w:hAnsi="Calibri" w:cs="Calibri"/>
          <w:color w:val="000000"/>
        </w:rPr>
        <w:t> </w:t>
      </w:r>
      <w:r w:rsidRPr="00797132">
        <w:rPr>
          <w:rFonts w:ascii="Calibri" w:hAnsi="Calibri" w:cs="Calibri"/>
          <w:color w:val="000000"/>
        </w:rPr>
        <w:t>serves as Deputy Chairman, strengthening alignment between financial regulation and national development policy.</w:t>
      </w:r>
    </w:p>
    <w:p w14:paraId="240F7088"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Ministerial representation is reinforced through</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Alvin Tan</w:t>
      </w:r>
      <w:r w:rsidRPr="00797132">
        <w:rPr>
          <w:rFonts w:ascii="Calibri" w:hAnsi="Calibri" w:cs="Calibri"/>
          <w:color w:val="000000"/>
        </w:rPr>
        <w:t>, ensuring continuity in trade, industry, and development perspectives.</w:t>
      </w:r>
    </w:p>
    <w:p w14:paraId="7F5CE387"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Governance and risk oversight are institutionally embedded through</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Peter Ong</w:t>
      </w:r>
      <w:r w:rsidRPr="00797132">
        <w:rPr>
          <w:rStyle w:val="apple-converted-space"/>
          <w:rFonts w:ascii="Calibri" w:eastAsiaTheme="majorEastAsia" w:hAnsi="Calibri" w:cs="Calibri"/>
          <w:color w:val="000000"/>
        </w:rPr>
        <w:t> </w:t>
      </w:r>
      <w:r w:rsidRPr="00797132">
        <w:rPr>
          <w:rFonts w:ascii="Calibri" w:hAnsi="Calibri" w:cs="Calibri"/>
          <w:color w:val="000000"/>
        </w:rPr>
        <w:t>as Chairman of the Risk Committee.</w:t>
      </w:r>
    </w:p>
    <w:p w14:paraId="2991A5E2"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Audit and internal control functions are led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Chaly Mah</w:t>
      </w:r>
      <w:r w:rsidRPr="00797132">
        <w:rPr>
          <w:rStyle w:val="apple-converted-space"/>
          <w:rFonts w:ascii="Calibri" w:eastAsiaTheme="majorEastAsia" w:hAnsi="Calibri" w:cs="Calibri"/>
          <w:color w:val="000000"/>
        </w:rPr>
        <w:t> </w:t>
      </w:r>
      <w:r w:rsidRPr="00797132">
        <w:rPr>
          <w:rFonts w:ascii="Calibri" w:hAnsi="Calibri" w:cs="Calibri"/>
          <w:color w:val="000000"/>
        </w:rPr>
        <w:t>as Chairman of the Audit Committee.</w:t>
      </w:r>
    </w:p>
    <w:p w14:paraId="5395A1E5"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Strategic economic and policy continuity is supported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Lim Hng Kiang</w:t>
      </w:r>
      <w:r w:rsidRPr="00797132">
        <w:rPr>
          <w:rStyle w:val="apple-converted-space"/>
          <w:rFonts w:ascii="Calibri" w:eastAsiaTheme="majorEastAsia" w:hAnsi="Calibri" w:cs="Calibri"/>
          <w:color w:val="000000"/>
        </w:rPr>
        <w:t> </w:t>
      </w:r>
      <w:r w:rsidRPr="00797132">
        <w:rPr>
          <w:rFonts w:ascii="Calibri" w:hAnsi="Calibri" w:cs="Calibri"/>
          <w:color w:val="000000"/>
        </w:rPr>
        <w:t>as Special Advisor to the Ministry of Trade and Industry.</w:t>
      </w:r>
    </w:p>
    <w:p w14:paraId="2E70C361"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Legal and constitutional oversight is represented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Lucien Wong</w:t>
      </w:r>
      <w:r w:rsidRPr="00797132">
        <w:rPr>
          <w:rFonts w:ascii="Calibri" w:hAnsi="Calibri" w:cs="Calibri"/>
          <w:color w:val="000000"/>
        </w:rPr>
        <w:t>, ensuring alignment with public law and enforcement architecture.</w:t>
      </w:r>
    </w:p>
    <w:p w14:paraId="37043D60"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Financial reporting and professional governance expertise is contributed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Deborah Ong</w:t>
      </w:r>
      <w:r w:rsidRPr="00797132">
        <w:rPr>
          <w:rFonts w:ascii="Calibri" w:hAnsi="Calibri" w:cs="Calibri"/>
          <w:color w:val="000000"/>
        </w:rPr>
        <w:t>, former partner at</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PricewaterhouseCoopers LLP</w:t>
      </w:r>
      <w:r w:rsidRPr="00797132">
        <w:rPr>
          <w:rFonts w:ascii="Calibri" w:hAnsi="Calibri" w:cs="Calibri"/>
          <w:color w:val="000000"/>
        </w:rPr>
        <w:t>.</w:t>
      </w:r>
    </w:p>
    <w:p w14:paraId="38B35D3F"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Market-facing legal and transactional insight is provided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Ng Wai King</w:t>
      </w:r>
      <w:r w:rsidRPr="00797132">
        <w:rPr>
          <w:rFonts w:ascii="Calibri" w:hAnsi="Calibri" w:cs="Calibri"/>
          <w:color w:val="000000"/>
        </w:rPr>
        <w:t>, Chairman and Managing Partner of</w:t>
      </w:r>
      <w:r w:rsidRPr="00797132">
        <w:rPr>
          <w:rStyle w:val="apple-converted-space"/>
          <w:rFonts w:ascii="Calibri" w:eastAsiaTheme="majorEastAsia" w:hAnsi="Calibri" w:cs="Calibri"/>
          <w:color w:val="000000"/>
        </w:rPr>
        <w:t> </w:t>
      </w:r>
      <w:proofErr w:type="spellStart"/>
      <w:r w:rsidRPr="00797132">
        <w:rPr>
          <w:rStyle w:val="whitespace-normal"/>
          <w:rFonts w:ascii="Calibri" w:eastAsiaTheme="majorEastAsia" w:hAnsi="Calibri" w:cs="Calibri"/>
          <w:color w:val="000000"/>
        </w:rPr>
        <w:t>WongPartnership</w:t>
      </w:r>
      <w:proofErr w:type="spellEnd"/>
      <w:r w:rsidRPr="00797132">
        <w:rPr>
          <w:rFonts w:ascii="Calibri" w:hAnsi="Calibri" w:cs="Calibri"/>
          <w:color w:val="000000"/>
        </w:rPr>
        <w:t>.</w:t>
      </w:r>
    </w:p>
    <w:p w14:paraId="540D1DC4" w14:textId="77777777" w:rsidR="00797132" w:rsidRPr="00797132" w:rsidRDefault="00797132" w:rsidP="00797132">
      <w:pPr>
        <w:pStyle w:val="ac"/>
        <w:numPr>
          <w:ilvl w:val="0"/>
          <w:numId w:val="4"/>
        </w:numPr>
        <w:jc w:val="both"/>
        <w:rPr>
          <w:rFonts w:ascii="Calibri" w:hAnsi="Calibri" w:cs="Calibri"/>
          <w:color w:val="000000"/>
        </w:rPr>
      </w:pPr>
      <w:r w:rsidRPr="00797132">
        <w:rPr>
          <w:rFonts w:ascii="Calibri" w:hAnsi="Calibri" w:cs="Calibri"/>
          <w:color w:val="000000"/>
        </w:rPr>
        <w:t>Cultural and institutional leadership is represented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Goh Swee Chen</w:t>
      </w:r>
      <w:r w:rsidRPr="00797132">
        <w:rPr>
          <w:rFonts w:ascii="Calibri" w:hAnsi="Calibri" w:cs="Calibri"/>
          <w:color w:val="000000"/>
        </w:rPr>
        <w:t>, Chairman of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National Arts Council</w:t>
      </w:r>
      <w:r w:rsidRPr="00797132">
        <w:rPr>
          <w:rFonts w:ascii="Calibri" w:hAnsi="Calibri" w:cs="Calibri"/>
          <w:color w:val="000000"/>
        </w:rPr>
        <w:t>.</w:t>
      </w:r>
    </w:p>
    <w:p w14:paraId="7D331993" w14:textId="5D6597A6" w:rsidR="006F0712" w:rsidRPr="006F0712" w:rsidRDefault="00797132" w:rsidP="006F0712">
      <w:pPr>
        <w:pStyle w:val="ac"/>
        <w:numPr>
          <w:ilvl w:val="0"/>
          <w:numId w:val="4"/>
        </w:numPr>
        <w:jc w:val="both"/>
        <w:rPr>
          <w:rFonts w:ascii="Calibri" w:hAnsi="Calibri" w:cs="Calibri"/>
          <w:color w:val="000000"/>
        </w:rPr>
      </w:pPr>
      <w:r w:rsidRPr="00797132">
        <w:rPr>
          <w:rFonts w:ascii="Calibri" w:hAnsi="Calibri" w:cs="Calibri"/>
          <w:color w:val="000000"/>
        </w:rPr>
        <w:t>Academic and research governance is strengthened through</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Ho Teck Hua</w:t>
      </w:r>
      <w:r w:rsidRPr="00797132">
        <w:rPr>
          <w:rFonts w:ascii="Calibri" w:hAnsi="Calibri" w:cs="Calibri"/>
          <w:color w:val="000000"/>
        </w:rPr>
        <w:t>, President of</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Nanyang Technological University</w:t>
      </w:r>
      <w:r w:rsidRPr="00797132">
        <w:rPr>
          <w:rFonts w:ascii="Calibri" w:hAnsi="Calibri" w:cs="Calibri"/>
          <w:color w:val="000000"/>
        </w:rPr>
        <w:t>.</w:t>
      </w:r>
    </w:p>
    <w:p w14:paraId="58A34AA9" w14:textId="177A3EE8" w:rsidR="006F0712" w:rsidRPr="006F0712" w:rsidRDefault="006F0712" w:rsidP="006F0712">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Pr="006F0712">
        <w:rPr>
          <w:rStyle w:val="s1"/>
          <w:rFonts w:ascii="Calibri" w:eastAsiaTheme="majorEastAsia" w:hAnsi="Calibri" w:cs="Calibri"/>
          <w:color w:val="E97132" w:themeColor="accent2"/>
          <w:sz w:val="22"/>
          <w:szCs w:val="22"/>
          <w:bdr w:val="none" w:sz="0" w:space="0" w:color="auto" w:frame="1"/>
        </w:rPr>
        <w:fldChar w:fldCharType="begin"/>
      </w:r>
      <w:r w:rsidRPr="006F0712">
        <w:rPr>
          <w:rStyle w:val="s1"/>
          <w:rFonts w:ascii="Calibri" w:eastAsiaTheme="majorEastAsia" w:hAnsi="Calibri" w:cs="Calibri"/>
          <w:color w:val="E97132" w:themeColor="accent2"/>
          <w:sz w:val="22"/>
          <w:szCs w:val="22"/>
          <w:bdr w:val="none" w:sz="0" w:space="0" w:color="auto" w:frame="1"/>
        </w:rPr>
        <w:instrText>HYPERLINK "https://charltonsquantum.com/change-in-board-roster-at-the-monetary-authority-of-singapore-with-effect-from-1-january-2026/"</w:instrText>
      </w:r>
      <w:r w:rsidRPr="006F0712">
        <w:rPr>
          <w:rStyle w:val="s1"/>
          <w:rFonts w:ascii="Calibri" w:eastAsiaTheme="majorEastAsia" w:hAnsi="Calibri" w:cs="Calibri"/>
          <w:color w:val="E97132" w:themeColor="accent2"/>
          <w:sz w:val="22"/>
          <w:szCs w:val="22"/>
          <w:bdr w:val="none" w:sz="0" w:space="0" w:color="auto" w:frame="1"/>
        </w:rPr>
      </w:r>
      <w:r w:rsidRPr="006F0712">
        <w:rPr>
          <w:rStyle w:val="s1"/>
          <w:rFonts w:ascii="Calibri" w:eastAsiaTheme="majorEastAsia" w:hAnsi="Calibri" w:cs="Calibri"/>
          <w:color w:val="E97132" w:themeColor="accent2"/>
          <w:sz w:val="22"/>
          <w:szCs w:val="22"/>
          <w:bdr w:val="none" w:sz="0" w:space="0" w:color="auto" w:frame="1"/>
        </w:rPr>
        <w:fldChar w:fldCharType="separate"/>
      </w:r>
      <w:r w:rsidRPr="006F0712">
        <w:rPr>
          <w:rStyle w:val="ae"/>
          <w:rFonts w:ascii="Calibri" w:eastAsiaTheme="majorEastAsia" w:hAnsi="Calibri" w:cs="Calibri"/>
          <w:color w:val="E97132" w:themeColor="accent2"/>
          <w:sz w:val="22"/>
          <w:szCs w:val="22"/>
          <w:bdr w:val="none" w:sz="0" w:space="0" w:color="auto" w:frame="1"/>
        </w:rPr>
        <w:t>https://charltonsquantum.com/change-in-board-roster-at-the-monetary-authority-of-singapore-with-effect-from-1-january-2026/</w:t>
      </w:r>
      <w:r w:rsidRPr="006F0712">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561711A1" w14:textId="77777777" w:rsidR="00797132" w:rsidRPr="00797132" w:rsidRDefault="00797132" w:rsidP="00797132">
      <w:pPr>
        <w:spacing w:line="240" w:lineRule="auto"/>
        <w:jc w:val="both"/>
        <w:rPr>
          <w:rFonts w:ascii="Calibri" w:hAnsi="Calibri" w:cs="Calibri"/>
        </w:rPr>
      </w:pPr>
    </w:p>
    <w:p w14:paraId="4E0C37E3" w14:textId="708CA777" w:rsidR="00797132" w:rsidRPr="00797132" w:rsidRDefault="00797132" w:rsidP="00797132">
      <w:pPr>
        <w:pStyle w:val="ac"/>
        <w:jc w:val="both"/>
        <w:rPr>
          <w:rFonts w:ascii="Calibri" w:hAnsi="Calibri" w:cs="Calibri"/>
          <w:color w:val="000000"/>
        </w:rPr>
      </w:pPr>
      <w:r w:rsidRPr="00797132">
        <w:rPr>
          <w:rStyle w:val="ad"/>
          <w:rFonts w:ascii="Calibri" w:eastAsiaTheme="majorEastAsia" w:hAnsi="Calibri" w:cs="Calibri"/>
          <w:color w:val="000000"/>
        </w:rPr>
        <w:t>Monetary Authority of Singapore</w:t>
      </w:r>
      <w:r w:rsidR="00947509">
        <w:rPr>
          <w:rStyle w:val="ad"/>
          <w:rFonts w:ascii="Calibri" w:eastAsiaTheme="majorEastAsia" w:hAnsi="Calibri" w:cs="Calibri"/>
          <w:color w:val="000000"/>
        </w:rPr>
        <w:t xml:space="preserve">: </w:t>
      </w:r>
      <w:r w:rsidRPr="00797132">
        <w:rPr>
          <w:rStyle w:val="ad"/>
          <w:rFonts w:ascii="Calibri" w:eastAsiaTheme="majorEastAsia" w:hAnsi="Calibri" w:cs="Calibri"/>
          <w:color w:val="000000"/>
        </w:rPr>
        <w:t xml:space="preserve"> Heng Swee Keat Steps Down from MAS Board After Two Decades of Service</w:t>
      </w:r>
    </w:p>
    <w:p w14:paraId="45C8D69B" w14:textId="5ACC9576" w:rsidR="00797132" w:rsidRPr="00797132" w:rsidRDefault="00797132" w:rsidP="00797132">
      <w:pPr>
        <w:pStyle w:val="ac"/>
        <w:jc w:val="both"/>
        <w:rPr>
          <w:rFonts w:ascii="Calibri" w:hAnsi="Calibri" w:cs="Calibri"/>
          <w:color w:val="000000"/>
        </w:rPr>
      </w:pPr>
      <w:r w:rsidRPr="00797132">
        <w:rPr>
          <w:rFonts w:ascii="Calibri" w:hAnsi="Calibri" w:cs="Calibri"/>
          <w:color w:val="000000"/>
        </w:rPr>
        <w:t>On</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5 January 2026</w:t>
      </w:r>
      <w:r w:rsidRPr="00797132">
        <w:rPr>
          <w:rFonts w:ascii="Calibri" w:hAnsi="Calibri" w:cs="Calibri"/>
          <w:color w:val="000000"/>
        </w:rPr>
        <w:t>,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Monetary Authority of Singapore</w:t>
      </w:r>
      <w:r w:rsidRPr="00797132">
        <w:rPr>
          <w:rStyle w:val="apple-converted-space"/>
          <w:rFonts w:ascii="Calibri" w:eastAsiaTheme="majorEastAsia" w:hAnsi="Calibri" w:cs="Calibri"/>
          <w:color w:val="000000"/>
        </w:rPr>
        <w:t> </w:t>
      </w:r>
      <w:r w:rsidRPr="00797132">
        <w:rPr>
          <w:rFonts w:ascii="Calibri" w:hAnsi="Calibri" w:cs="Calibri"/>
          <w:color w:val="000000"/>
        </w:rPr>
        <w:t>announced that</w:t>
      </w:r>
      <w:r w:rsidRPr="00797132">
        <w:rPr>
          <w:rStyle w:val="apple-converted-space"/>
          <w:rFonts w:ascii="Calibri" w:eastAsiaTheme="majorEastAsia" w:hAnsi="Calibri" w:cs="Calibri"/>
          <w:color w:val="000000"/>
        </w:rPr>
        <w:t> </w:t>
      </w:r>
      <w:hyperlink r:id="rId9" w:history="1">
        <w:r w:rsidRPr="006F0712">
          <w:rPr>
            <w:rStyle w:val="ae"/>
            <w:rFonts w:ascii="Calibri" w:eastAsiaTheme="majorEastAsia" w:hAnsi="Calibri" w:cs="Calibri"/>
            <w:color w:val="E97132" w:themeColor="accent2"/>
          </w:rPr>
          <w:t>Heng Swee Keat </w:t>
        </w:r>
        <w:r w:rsidRPr="006F0712">
          <w:rPr>
            <w:rStyle w:val="ae"/>
            <w:rFonts w:ascii="Calibri" w:hAnsi="Calibri" w:cs="Calibri"/>
            <w:color w:val="E97132" w:themeColor="accent2"/>
          </w:rPr>
          <w:t>had relinquished his position with effect from 1 January 2026</w:t>
        </w:r>
      </w:hyperlink>
      <w:r w:rsidR="00947509">
        <w:rPr>
          <w:rFonts w:ascii="Calibri" w:hAnsi="Calibri" w:cs="Calibri"/>
          <w:color w:val="000000"/>
        </w:rPr>
        <w:t xml:space="preserve">, </w:t>
      </w:r>
      <w:r w:rsidRPr="00797132">
        <w:rPr>
          <w:rFonts w:ascii="Calibri" w:hAnsi="Calibri" w:cs="Calibri"/>
          <w:color w:val="000000"/>
        </w:rPr>
        <w:t>conclusion of a two-decade association with MAS. The MAS Board, chaired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Gan Kim Yong</w:t>
      </w:r>
      <w:r w:rsidRPr="00797132">
        <w:rPr>
          <w:rFonts w:ascii="Calibri" w:hAnsi="Calibri" w:cs="Calibri"/>
          <w:color w:val="000000"/>
        </w:rPr>
        <w:t xml:space="preserve">, formally acknowledged Heng’s long-standing contributions, most notably his tenure as Managing Director from 2005 to 2011. </w:t>
      </w:r>
    </w:p>
    <w:p w14:paraId="44DDDBAA" w14:textId="77777777" w:rsidR="00797132" w:rsidRPr="00797132" w:rsidRDefault="00797132" w:rsidP="00797132">
      <w:pPr>
        <w:pStyle w:val="ac"/>
        <w:numPr>
          <w:ilvl w:val="0"/>
          <w:numId w:val="5"/>
        </w:numPr>
        <w:jc w:val="both"/>
        <w:rPr>
          <w:rFonts w:ascii="Calibri" w:hAnsi="Calibri" w:cs="Calibri"/>
          <w:color w:val="000000"/>
        </w:rPr>
      </w:pPr>
      <w:r w:rsidRPr="00797132">
        <w:rPr>
          <w:rFonts w:ascii="Calibri" w:hAnsi="Calibri" w:cs="Calibri"/>
          <w:color w:val="000000"/>
        </w:rPr>
        <w:lastRenderedPageBreak/>
        <w:t>Heng Swee Keat’s service on the MAS Board spanned approximately twenty years, reflecting sustained institutional continuity at Singapore’s apex financial regulator.</w:t>
      </w:r>
    </w:p>
    <w:p w14:paraId="0E40DD0E" w14:textId="77777777" w:rsidR="00797132" w:rsidRPr="00797132" w:rsidRDefault="00797132" w:rsidP="00797132">
      <w:pPr>
        <w:pStyle w:val="ac"/>
        <w:numPr>
          <w:ilvl w:val="0"/>
          <w:numId w:val="5"/>
        </w:numPr>
        <w:jc w:val="both"/>
        <w:rPr>
          <w:rFonts w:ascii="Calibri" w:hAnsi="Calibri" w:cs="Calibri"/>
          <w:color w:val="000000"/>
        </w:rPr>
      </w:pPr>
      <w:r w:rsidRPr="00797132">
        <w:rPr>
          <w:rFonts w:ascii="Calibri" w:hAnsi="Calibri" w:cs="Calibri"/>
          <w:color w:val="000000"/>
        </w:rPr>
        <w:t>As Managing Director from 2005 to 2011, he guided MAS through the 2008 global financial crisis, reinforcing prudential supervision and crisis-response frameworks.</w:t>
      </w:r>
    </w:p>
    <w:p w14:paraId="5FE748E2" w14:textId="1003023E" w:rsidR="006F0712" w:rsidRPr="006F0712" w:rsidRDefault="00797132" w:rsidP="006F0712">
      <w:pPr>
        <w:pStyle w:val="ac"/>
        <w:numPr>
          <w:ilvl w:val="0"/>
          <w:numId w:val="5"/>
        </w:numPr>
        <w:jc w:val="both"/>
        <w:rPr>
          <w:rFonts w:ascii="Calibri" w:hAnsi="Calibri" w:cs="Calibri"/>
          <w:color w:val="000000"/>
        </w:rPr>
      </w:pPr>
      <w:r w:rsidRPr="00797132">
        <w:rPr>
          <w:rFonts w:ascii="Calibri" w:hAnsi="Calibri" w:cs="Calibri"/>
          <w:color w:val="000000"/>
        </w:rPr>
        <w:t>MAS Chairman Gan Kim Yong publicly emphasised Heng’s strategic judgment, institutional wisdom, and long-term impact on regulatory governance.</w:t>
      </w:r>
    </w:p>
    <w:p w14:paraId="30F8BC5E" w14:textId="1DD628CE" w:rsidR="006F0712" w:rsidRPr="006F0712" w:rsidRDefault="006F0712" w:rsidP="006F0712">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Pr>
          <w:rStyle w:val="s1"/>
          <w:rFonts w:ascii="Calibri" w:eastAsiaTheme="majorEastAsia" w:hAnsi="Calibri" w:cs="Calibri"/>
          <w:color w:val="E97132" w:themeColor="accent2"/>
          <w:sz w:val="22"/>
          <w:szCs w:val="22"/>
          <w:bdr w:val="none" w:sz="0" w:space="0" w:color="auto" w:frame="1"/>
        </w:rPr>
        <w:fldChar w:fldCharType="begin"/>
      </w:r>
      <w:r>
        <w:rPr>
          <w:rStyle w:val="s1"/>
          <w:rFonts w:ascii="Calibri" w:eastAsiaTheme="majorEastAsia" w:hAnsi="Calibri" w:cs="Calibri"/>
          <w:color w:val="E97132" w:themeColor="accent2"/>
          <w:sz w:val="22"/>
          <w:szCs w:val="22"/>
          <w:bdr w:val="none" w:sz="0" w:space="0" w:color="auto" w:frame="1"/>
        </w:rPr>
        <w:instrText>HYPERLINK "https://charltonsquantum.com/monetary-authority-of-singapore-heng-swee-keat-steps-down-from-mas-board-after-two-decades-change-in-board-composition/"</w:instrText>
      </w:r>
      <w:r>
        <w:rPr>
          <w:rStyle w:val="s1"/>
          <w:rFonts w:ascii="Calibri" w:eastAsiaTheme="majorEastAsia" w:hAnsi="Calibri" w:cs="Calibri"/>
          <w:color w:val="E97132" w:themeColor="accent2"/>
          <w:sz w:val="22"/>
          <w:szCs w:val="22"/>
          <w:bdr w:val="none" w:sz="0" w:space="0" w:color="auto" w:frame="1"/>
        </w:rPr>
      </w:r>
      <w:r>
        <w:rPr>
          <w:rStyle w:val="s1"/>
          <w:rFonts w:ascii="Calibri" w:eastAsiaTheme="majorEastAsia" w:hAnsi="Calibri" w:cs="Calibri"/>
          <w:color w:val="E97132" w:themeColor="accent2"/>
          <w:sz w:val="22"/>
          <w:szCs w:val="22"/>
          <w:bdr w:val="none" w:sz="0" w:space="0" w:color="auto" w:frame="1"/>
        </w:rPr>
        <w:fldChar w:fldCharType="separate"/>
      </w:r>
      <w:r w:rsidRPr="006F0712">
        <w:rPr>
          <w:rStyle w:val="ae"/>
          <w:rFonts w:ascii="Calibri" w:eastAsiaTheme="majorEastAsia" w:hAnsi="Calibri" w:cs="Calibri"/>
          <w:color w:val="E97132" w:themeColor="accent2"/>
          <w:sz w:val="22"/>
          <w:szCs w:val="22"/>
          <w:bdr w:val="none" w:sz="0" w:space="0" w:color="auto" w:frame="1"/>
        </w:rPr>
        <w:t>https://charltonsquantum.com/monetary-authority-of-singapore-heng-swee-keat-steps-down-from-mas-board-after-two-decades-change-in-board-composition/</w:t>
      </w:r>
      <w:r w:rsidRPr="006F0712">
        <w:rPr>
          <w:rStyle w:val="ae"/>
          <w:rFonts w:ascii="Calibri" w:eastAsiaTheme="majorEastAsia" w:hAnsi="Calibri" w:cs="Calibri"/>
          <w:sz w:val="22"/>
          <w:szCs w:val="22"/>
          <w:bdr w:val="none" w:sz="0" w:space="0" w:color="auto" w:frame="1"/>
        </w:rPr>
        <w:t>)</w:t>
      </w:r>
      <w:r>
        <w:rPr>
          <w:rStyle w:val="s1"/>
          <w:rFonts w:ascii="Calibri" w:eastAsiaTheme="majorEastAsia" w:hAnsi="Calibri" w:cs="Calibri"/>
          <w:color w:val="E97132" w:themeColor="accent2"/>
          <w:sz w:val="22"/>
          <w:szCs w:val="22"/>
          <w:bdr w:val="none" w:sz="0" w:space="0" w:color="auto" w:frame="1"/>
        </w:rPr>
        <w:fldChar w:fldCharType="end"/>
      </w:r>
    </w:p>
    <w:p w14:paraId="0A360CE5" w14:textId="77777777" w:rsidR="00797132" w:rsidRPr="00797132" w:rsidRDefault="00797132" w:rsidP="00797132">
      <w:pPr>
        <w:pStyle w:val="ac"/>
        <w:jc w:val="both"/>
        <w:rPr>
          <w:rStyle w:val="ad"/>
          <w:rFonts w:ascii="Calibri" w:eastAsiaTheme="majorEastAsia" w:hAnsi="Calibri" w:cs="Calibri"/>
          <w:b w:val="0"/>
          <w:bCs w:val="0"/>
          <w:color w:val="000000"/>
        </w:rPr>
      </w:pPr>
    </w:p>
    <w:p w14:paraId="0802A3C4" w14:textId="0363793A" w:rsidR="00797132" w:rsidRPr="00797132" w:rsidRDefault="00797132" w:rsidP="00797132">
      <w:pPr>
        <w:pStyle w:val="ac"/>
        <w:jc w:val="both"/>
        <w:rPr>
          <w:rFonts w:ascii="Calibri" w:hAnsi="Calibri" w:cs="Calibri"/>
          <w:color w:val="000000"/>
        </w:rPr>
      </w:pPr>
      <w:r w:rsidRPr="00797132">
        <w:rPr>
          <w:rStyle w:val="ad"/>
          <w:rFonts w:ascii="Calibri" w:eastAsiaTheme="majorEastAsia" w:hAnsi="Calibri" w:cs="Calibri"/>
          <w:color w:val="000000"/>
        </w:rPr>
        <w:t>Monetary Authority of Singapore</w:t>
      </w:r>
      <w:r w:rsidR="00947509">
        <w:rPr>
          <w:rStyle w:val="ad"/>
          <w:rFonts w:ascii="Calibri" w:eastAsiaTheme="majorEastAsia" w:hAnsi="Calibri" w:cs="Calibri"/>
          <w:color w:val="000000"/>
        </w:rPr>
        <w:t>:</w:t>
      </w:r>
      <w:r w:rsidRPr="00797132">
        <w:rPr>
          <w:rStyle w:val="ad"/>
          <w:rFonts w:ascii="Calibri" w:eastAsiaTheme="majorEastAsia" w:hAnsi="Calibri" w:cs="Calibri"/>
          <w:color w:val="000000"/>
        </w:rPr>
        <w:t xml:space="preserve"> Equity Markets and Capital Formation</w:t>
      </w:r>
      <w:r w:rsidR="00947509">
        <w:rPr>
          <w:rFonts w:ascii="Calibri" w:hAnsi="Calibri" w:cs="Calibri"/>
          <w:color w:val="000000"/>
        </w:rPr>
        <w:t xml:space="preserve">: </w:t>
      </w:r>
      <w:r w:rsidRPr="00797132">
        <w:rPr>
          <w:rStyle w:val="ad"/>
          <w:rFonts w:ascii="Calibri" w:eastAsiaTheme="majorEastAsia" w:hAnsi="Calibri" w:cs="Calibri"/>
          <w:color w:val="000000"/>
        </w:rPr>
        <w:t>Sets Regulatory Direction for Equity Market Liquidity, Listings, and Cross-Border Integration at STI 60th Anniversary</w:t>
      </w:r>
    </w:p>
    <w:p w14:paraId="0FA17F9D" w14:textId="3299EDEB" w:rsidR="00797132" w:rsidRPr="00797132" w:rsidRDefault="00797132" w:rsidP="00947509">
      <w:pPr>
        <w:pStyle w:val="ac"/>
        <w:jc w:val="both"/>
        <w:rPr>
          <w:rFonts w:ascii="Calibri" w:hAnsi="Calibri" w:cs="Calibri"/>
          <w:color w:val="000000"/>
        </w:rPr>
      </w:pPr>
      <w:r w:rsidRPr="00797132">
        <w:rPr>
          <w:rFonts w:ascii="Calibri" w:hAnsi="Calibri" w:cs="Calibri"/>
          <w:color w:val="000000"/>
        </w:rPr>
        <w:t>On</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5 January 2026</w:t>
      </w:r>
      <w:r w:rsidRPr="00797132">
        <w:rPr>
          <w:rFonts w:ascii="Calibri" w:hAnsi="Calibri" w:cs="Calibri"/>
          <w:color w:val="000000"/>
        </w:rPr>
        <w:t>,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Monetary Authority of Singapore</w:t>
      </w:r>
      <w:r w:rsidRPr="00797132">
        <w:rPr>
          <w:rStyle w:val="apple-converted-space"/>
          <w:rFonts w:ascii="Calibri" w:eastAsiaTheme="majorEastAsia" w:hAnsi="Calibri" w:cs="Calibri"/>
          <w:color w:val="000000"/>
        </w:rPr>
        <w:t> </w:t>
      </w:r>
      <w:r w:rsidRPr="00797132">
        <w:rPr>
          <w:rFonts w:ascii="Calibri" w:hAnsi="Calibri" w:cs="Calibri"/>
          <w:color w:val="000000"/>
        </w:rPr>
        <w:t xml:space="preserve">articulated a clear, regulator-led </w:t>
      </w:r>
      <w:hyperlink r:id="rId10" w:history="1">
        <w:r w:rsidRPr="000A6696">
          <w:rPr>
            <w:rStyle w:val="ae"/>
            <w:rFonts w:ascii="Calibri" w:hAnsi="Calibri" w:cs="Calibri"/>
            <w:color w:val="E97132" w:themeColor="accent2"/>
          </w:rPr>
          <w:t>vision for the future of Singapore’s equity markets during the 60th anniversary celebrations of the</w:t>
        </w:r>
        <w:r w:rsidRPr="000A6696">
          <w:rPr>
            <w:rStyle w:val="ae"/>
            <w:rFonts w:ascii="Calibri" w:eastAsiaTheme="majorEastAsia" w:hAnsi="Calibri" w:cs="Calibri"/>
            <w:color w:val="E97132" w:themeColor="accent2"/>
          </w:rPr>
          <w:t> Straits Times Index</w:t>
        </w:r>
      </w:hyperlink>
      <w:r w:rsidRPr="00797132">
        <w:rPr>
          <w:rFonts w:ascii="Calibri" w:hAnsi="Calibri" w:cs="Calibri"/>
          <w:color w:val="000000"/>
        </w:rPr>
        <w:t>. Opening remarks were delivered by</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Chee Hong Tat</w:t>
      </w:r>
      <w:r w:rsidRPr="00797132">
        <w:rPr>
          <w:rFonts w:ascii="Calibri" w:hAnsi="Calibri" w:cs="Calibri"/>
          <w:color w:val="000000"/>
        </w:rPr>
        <w:t>, Minister for National Development and Deputy Chairman of MAS, at an event hosted by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Singapore Exchange</w:t>
      </w:r>
      <w:r w:rsidRPr="00797132">
        <w:rPr>
          <w:rFonts w:ascii="Calibri" w:hAnsi="Calibri" w:cs="Calibri"/>
          <w:color w:val="000000"/>
        </w:rPr>
        <w:t>. MAS highlighted measurable improvements in trading depth, turnover, and participation by small- and mid-cap issuers, while confirming targeted regulatory and policy interventions to strengthen listings quality, governance discipline, and investor engagement. MAS reaffirmed liquidity as a core supervisory objective, linking market depth and turnover directly to investor confidence and regulatory trust.</w:t>
      </w:r>
    </w:p>
    <w:p w14:paraId="41A95EDC"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Structural improvements in liquidity were attributed to policy-led reform rather than relaxation of regulatory standards.</w:t>
      </w:r>
    </w:p>
    <w:p w14:paraId="19A8F9F0"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The Straits Times Index, established in 1966 and representing approximately 85% of domestic market capitalisation, was highlighted as a mature institutional benchmark and regional diversification tool.</w:t>
      </w:r>
    </w:p>
    <w:p w14:paraId="028921C4"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MAS confirmed continued use of targeted policy tools, including the Equity Market Development Programme and the Value-Unlock Programme, to support high-quality issuers.</w:t>
      </w:r>
    </w:p>
    <w:p w14:paraId="61E10ACF"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Grant-backed equity research initiatives were referenced as mechanisms to enhance price discovery, analyst coverage, and informed investor participation.</w:t>
      </w:r>
    </w:p>
    <w:p w14:paraId="1168804B"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Regulatory support for higher-quality initial public offerings and secondary listings was explicitly linked to governance and disclosure expectations.</w:t>
      </w:r>
    </w:p>
    <w:p w14:paraId="710E8699"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Cross-border integration initiatives, including the SGX–Nasdaq Global Listing Board, were cited as examples of controlled openness with supervisory consistency.</w:t>
      </w:r>
    </w:p>
    <w:p w14:paraId="554E951D" w14:textId="77777777" w:rsidR="00797132" w:rsidRPr="00797132" w:rsidRDefault="00797132" w:rsidP="00797132">
      <w:pPr>
        <w:pStyle w:val="ac"/>
        <w:numPr>
          <w:ilvl w:val="0"/>
          <w:numId w:val="2"/>
        </w:numPr>
        <w:jc w:val="both"/>
        <w:rPr>
          <w:rFonts w:ascii="Calibri" w:hAnsi="Calibri" w:cs="Calibri"/>
          <w:color w:val="000000"/>
        </w:rPr>
      </w:pPr>
      <w:r w:rsidRPr="00797132">
        <w:rPr>
          <w:rFonts w:ascii="Calibri" w:hAnsi="Calibri" w:cs="Calibri"/>
          <w:color w:val="000000"/>
        </w:rPr>
        <w:t>MAS signalled strong institutional backing for intra-Asian capital connectivity while maintaining firm regulatory oversight.</w:t>
      </w:r>
    </w:p>
    <w:p w14:paraId="12698A68" w14:textId="0C5FBE97" w:rsidR="006F0712" w:rsidRPr="006F0712" w:rsidRDefault="00797132" w:rsidP="006F0712">
      <w:pPr>
        <w:pStyle w:val="ac"/>
        <w:numPr>
          <w:ilvl w:val="0"/>
          <w:numId w:val="2"/>
        </w:numPr>
        <w:jc w:val="both"/>
        <w:rPr>
          <w:rFonts w:ascii="Calibri" w:hAnsi="Calibri" w:cs="Calibri"/>
          <w:color w:val="000000"/>
        </w:rPr>
      </w:pPr>
      <w:r w:rsidRPr="00797132">
        <w:rPr>
          <w:rFonts w:ascii="Calibri" w:hAnsi="Calibri" w:cs="Calibri"/>
          <w:color w:val="000000"/>
        </w:rPr>
        <w:t>Listings growth is being pursued alongside enhanced transparency, board accountability, and investor communication standards.</w:t>
      </w:r>
    </w:p>
    <w:p w14:paraId="10172734" w14:textId="04D77120" w:rsidR="006F0712" w:rsidRPr="006F0712" w:rsidRDefault="006F0712" w:rsidP="006F0712">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0A6696" w:rsidRPr="000A6696">
        <w:rPr>
          <w:rStyle w:val="s1"/>
          <w:rFonts w:ascii="Calibri" w:eastAsiaTheme="majorEastAsia" w:hAnsi="Calibri" w:cs="Calibri"/>
          <w:color w:val="E97132" w:themeColor="accent2"/>
          <w:sz w:val="22"/>
          <w:szCs w:val="22"/>
          <w:bdr w:val="none" w:sz="0" w:space="0" w:color="auto" w:frame="1"/>
        </w:rPr>
        <w:fldChar w:fldCharType="begin"/>
      </w:r>
      <w:r w:rsidR="000A6696" w:rsidRPr="000A6696">
        <w:rPr>
          <w:rStyle w:val="s1"/>
          <w:rFonts w:ascii="Calibri" w:eastAsiaTheme="majorEastAsia" w:hAnsi="Calibri" w:cs="Calibri"/>
          <w:color w:val="E97132" w:themeColor="accent2"/>
          <w:sz w:val="22"/>
          <w:szCs w:val="22"/>
          <w:bdr w:val="none" w:sz="0" w:space="0" w:color="auto" w:frame="1"/>
        </w:rPr>
        <w:instrText>HYPERLINK "https://charltonsquantum.com/monetary-authority-of-singapore-sets-regulatory-direction-for-equity-market-liquidity-listings-and-cross-border-integration-at-sti-60th-anniversary/"</w:instrText>
      </w:r>
      <w:r w:rsidR="000A6696" w:rsidRPr="000A6696">
        <w:rPr>
          <w:rStyle w:val="s1"/>
          <w:rFonts w:ascii="Calibri" w:eastAsiaTheme="majorEastAsia" w:hAnsi="Calibri" w:cs="Calibri"/>
          <w:color w:val="E97132" w:themeColor="accent2"/>
          <w:sz w:val="22"/>
          <w:szCs w:val="22"/>
          <w:bdr w:val="none" w:sz="0" w:space="0" w:color="auto" w:frame="1"/>
        </w:rPr>
      </w:r>
      <w:r w:rsidR="000A6696" w:rsidRPr="000A6696">
        <w:rPr>
          <w:rStyle w:val="s1"/>
          <w:rFonts w:ascii="Calibri" w:eastAsiaTheme="majorEastAsia" w:hAnsi="Calibri" w:cs="Calibri"/>
          <w:color w:val="E97132" w:themeColor="accent2"/>
          <w:sz w:val="22"/>
          <w:szCs w:val="22"/>
          <w:bdr w:val="none" w:sz="0" w:space="0" w:color="auto" w:frame="1"/>
        </w:rPr>
        <w:fldChar w:fldCharType="separate"/>
      </w:r>
      <w:r w:rsidR="000A6696" w:rsidRPr="000A6696">
        <w:rPr>
          <w:rStyle w:val="ae"/>
          <w:rFonts w:ascii="Calibri" w:eastAsiaTheme="majorEastAsia" w:hAnsi="Calibri" w:cs="Calibri"/>
          <w:color w:val="E97132" w:themeColor="accent2"/>
          <w:sz w:val="22"/>
          <w:szCs w:val="22"/>
          <w:bdr w:val="none" w:sz="0" w:space="0" w:color="auto" w:frame="1"/>
        </w:rPr>
        <w:t>https://charltonsquantum.com/monetary-authority-of-singapore-sets-regulatory-direction-for-equity-market-liquidity-listings-and-cross-border-integration-at-sti-60th-anniversary/</w:t>
      </w:r>
      <w:r w:rsidR="000A6696" w:rsidRPr="000A6696">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584C73C8" w14:textId="77777777" w:rsidR="00797132" w:rsidRPr="00797132" w:rsidRDefault="00797132" w:rsidP="00797132">
      <w:pPr>
        <w:pStyle w:val="ac"/>
        <w:jc w:val="both"/>
        <w:rPr>
          <w:rStyle w:val="ad"/>
          <w:rFonts w:ascii="Calibri" w:eastAsiaTheme="majorEastAsia" w:hAnsi="Calibri" w:cs="Calibri"/>
          <w:b w:val="0"/>
          <w:bCs w:val="0"/>
          <w:color w:val="000000"/>
        </w:rPr>
      </w:pPr>
    </w:p>
    <w:p w14:paraId="02E6145F" w14:textId="03171DD9" w:rsidR="00D455B8" w:rsidRPr="00797132" w:rsidRDefault="00D455B8" w:rsidP="00797132">
      <w:pPr>
        <w:pStyle w:val="ac"/>
        <w:jc w:val="both"/>
        <w:rPr>
          <w:rFonts w:ascii="Calibri" w:hAnsi="Calibri" w:cs="Calibri"/>
          <w:color w:val="000000"/>
        </w:rPr>
      </w:pPr>
      <w:r w:rsidRPr="00797132">
        <w:rPr>
          <w:rStyle w:val="ad"/>
          <w:rFonts w:ascii="Calibri" w:eastAsiaTheme="majorEastAsia" w:hAnsi="Calibri" w:cs="Calibri"/>
          <w:color w:val="000000"/>
        </w:rPr>
        <w:t>United States</w:t>
      </w:r>
      <w:r w:rsidR="00947509">
        <w:rPr>
          <w:rStyle w:val="ad"/>
          <w:rFonts w:ascii="Calibri" w:eastAsiaTheme="majorEastAsia" w:hAnsi="Calibri" w:cs="Calibri"/>
          <w:color w:val="000000"/>
        </w:rPr>
        <w:t xml:space="preserve"> </w:t>
      </w:r>
      <w:r w:rsidRPr="00797132">
        <w:rPr>
          <w:rStyle w:val="ad"/>
          <w:rFonts w:ascii="Calibri" w:eastAsiaTheme="majorEastAsia" w:hAnsi="Calibri" w:cs="Calibri"/>
          <w:color w:val="000000"/>
        </w:rPr>
        <w:t xml:space="preserve">Securities and Exchange Commission </w:t>
      </w:r>
      <w:r w:rsidR="00947509">
        <w:rPr>
          <w:rStyle w:val="ad"/>
          <w:rFonts w:ascii="Calibri" w:eastAsiaTheme="majorEastAsia" w:hAnsi="Calibri" w:cs="Calibri"/>
          <w:color w:val="000000"/>
        </w:rPr>
        <w:t>on</w:t>
      </w:r>
      <w:r w:rsidRPr="00797132">
        <w:rPr>
          <w:rStyle w:val="ad"/>
          <w:rFonts w:ascii="Calibri" w:eastAsiaTheme="majorEastAsia" w:hAnsi="Calibri" w:cs="Calibri"/>
          <w:color w:val="000000"/>
        </w:rPr>
        <w:t xml:space="preserve"> Regulatory Flexibility Act</w:t>
      </w:r>
      <w:r w:rsidR="00947509">
        <w:rPr>
          <w:rFonts w:ascii="Calibri" w:hAnsi="Calibri" w:cs="Calibri"/>
          <w:color w:val="000000"/>
        </w:rPr>
        <w:t xml:space="preserve">: </w:t>
      </w:r>
      <w:r w:rsidRPr="00797132">
        <w:rPr>
          <w:rStyle w:val="ad"/>
          <w:rFonts w:ascii="Calibri" w:eastAsiaTheme="majorEastAsia" w:hAnsi="Calibri" w:cs="Calibri"/>
          <w:color w:val="000000"/>
        </w:rPr>
        <w:t>Proposes Update</w:t>
      </w:r>
      <w:r w:rsidR="00947509">
        <w:rPr>
          <w:rStyle w:val="ad"/>
          <w:rFonts w:ascii="Calibri" w:eastAsiaTheme="majorEastAsia" w:hAnsi="Calibri" w:cs="Calibri"/>
          <w:color w:val="000000"/>
        </w:rPr>
        <w:t>d</w:t>
      </w:r>
      <w:r w:rsidRPr="00797132">
        <w:rPr>
          <w:rStyle w:val="ad"/>
          <w:rFonts w:ascii="Calibri" w:eastAsiaTheme="majorEastAsia" w:hAnsi="Calibri" w:cs="Calibri"/>
          <w:color w:val="000000"/>
        </w:rPr>
        <w:t xml:space="preserve"> “Small Entity” Thresholds Under Regulatory Flexibility Act</w:t>
      </w:r>
    </w:p>
    <w:p w14:paraId="4FA8332A" w14:textId="3BA84E7B" w:rsidR="00D455B8" w:rsidRPr="00797132" w:rsidRDefault="00D455B8" w:rsidP="00797132">
      <w:pPr>
        <w:pStyle w:val="ac"/>
        <w:jc w:val="both"/>
        <w:rPr>
          <w:rFonts w:ascii="Calibri" w:hAnsi="Calibri" w:cs="Calibri"/>
          <w:color w:val="000000"/>
        </w:rPr>
      </w:pPr>
      <w:r w:rsidRPr="00797132">
        <w:rPr>
          <w:rFonts w:ascii="Calibri" w:hAnsi="Calibri" w:cs="Calibri"/>
          <w:color w:val="000000"/>
        </w:rPr>
        <w:t>On</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7 January 2026</w:t>
      </w:r>
      <w:r w:rsidRPr="00797132">
        <w:rPr>
          <w:rFonts w:ascii="Calibri" w:hAnsi="Calibri" w:cs="Calibri"/>
          <w:color w:val="000000"/>
        </w:rPr>
        <w:t>, the</w:t>
      </w:r>
      <w:r w:rsidRPr="00797132">
        <w:rPr>
          <w:rStyle w:val="apple-converted-space"/>
          <w:rFonts w:ascii="Calibri" w:eastAsiaTheme="majorEastAsia" w:hAnsi="Calibri" w:cs="Calibri"/>
          <w:color w:val="000000"/>
        </w:rPr>
        <w:t> </w:t>
      </w:r>
      <w:r w:rsidRPr="00797132">
        <w:rPr>
          <w:rStyle w:val="whitespace-normal"/>
          <w:rFonts w:ascii="Calibri" w:eastAsiaTheme="majorEastAsia" w:hAnsi="Calibri" w:cs="Calibri"/>
          <w:color w:val="000000"/>
        </w:rPr>
        <w:t>U.S. Securities and Exchange Commission</w:t>
      </w:r>
      <w:r w:rsidRPr="00797132">
        <w:rPr>
          <w:rStyle w:val="apple-converted-space"/>
          <w:rFonts w:ascii="Calibri" w:eastAsiaTheme="majorEastAsia" w:hAnsi="Calibri" w:cs="Calibri"/>
          <w:color w:val="000000"/>
        </w:rPr>
        <w:t> </w:t>
      </w:r>
      <w:hyperlink r:id="rId11" w:history="1">
        <w:r w:rsidRPr="007315F1">
          <w:rPr>
            <w:rStyle w:val="ae"/>
            <w:rFonts w:ascii="Calibri" w:hAnsi="Calibri" w:cs="Calibri"/>
            <w:color w:val="E97132" w:themeColor="accent2"/>
          </w:rPr>
          <w:t>proposed amendments</w:t>
        </w:r>
      </w:hyperlink>
      <w:r w:rsidRPr="00797132">
        <w:rPr>
          <w:rFonts w:ascii="Calibri" w:hAnsi="Calibri" w:cs="Calibri"/>
          <w:color w:val="000000"/>
        </w:rPr>
        <w:t xml:space="preserve"> to its rules defining “small entities” for purposes of the Regulatory Flexibility Act, covering registered investment companies, investment advisers, and business development companies. The proposal acknowledges that legacy thresholds no longer reflect contemporary market scale, asset growth, or industry consolidation. Framed as a methodological recalibration rather than deregulation, the amendments seek to </w:t>
      </w:r>
      <w:proofErr w:type="spellStart"/>
      <w:r w:rsidR="00947509">
        <w:rPr>
          <w:rFonts w:ascii="Calibri" w:hAnsi="Calibri" w:cs="Calibri"/>
          <w:color w:val="000000"/>
        </w:rPr>
        <w:t>amwend</w:t>
      </w:r>
      <w:proofErr w:type="spellEnd"/>
      <w:r w:rsidR="00947509">
        <w:rPr>
          <w:rFonts w:ascii="Calibri" w:hAnsi="Calibri" w:cs="Calibri"/>
          <w:color w:val="000000"/>
        </w:rPr>
        <w:t xml:space="preserve"> </w:t>
      </w:r>
      <w:r w:rsidRPr="00797132">
        <w:rPr>
          <w:rFonts w:ascii="Calibri" w:hAnsi="Calibri" w:cs="Calibri"/>
          <w:color w:val="000000"/>
        </w:rPr>
        <w:t xml:space="preserve">asset-based thresholds, refine aggregation methodologies, and introduce periodic inflation adjustments to preserve analytical accuracy over time. The </w:t>
      </w:r>
      <w:r w:rsidR="00947509">
        <w:rPr>
          <w:rFonts w:ascii="Calibri" w:hAnsi="Calibri" w:cs="Calibri"/>
          <w:color w:val="000000"/>
        </w:rPr>
        <w:t xml:space="preserve">US </w:t>
      </w:r>
      <w:r w:rsidRPr="00797132">
        <w:rPr>
          <w:rFonts w:ascii="Calibri" w:hAnsi="Calibri" w:cs="Calibri"/>
          <w:color w:val="000000"/>
        </w:rPr>
        <w:t xml:space="preserve">SEC’s objective is to ensure that regulatory impact analyses more precisely identify genuinely small market participants and appropriately calibrate compliance burdens. In doing so, the </w:t>
      </w:r>
      <w:r w:rsidR="00947509">
        <w:rPr>
          <w:rFonts w:ascii="Calibri" w:hAnsi="Calibri" w:cs="Calibri"/>
          <w:color w:val="000000"/>
        </w:rPr>
        <w:t>US SEC</w:t>
      </w:r>
      <w:r w:rsidRPr="00797132">
        <w:rPr>
          <w:rFonts w:ascii="Calibri" w:hAnsi="Calibri" w:cs="Calibri"/>
          <w:color w:val="000000"/>
        </w:rPr>
        <w:t xml:space="preserve"> aims to improve the effectiveness and efficiency of rulemaking while minimising unintended economic impacts. </w:t>
      </w:r>
      <w:r w:rsidR="00947509">
        <w:rPr>
          <w:rFonts w:ascii="Calibri" w:hAnsi="Calibri" w:cs="Calibri"/>
          <w:color w:val="000000"/>
        </w:rPr>
        <w:t xml:space="preserve">Since </w:t>
      </w:r>
      <w:r w:rsidRPr="00797132">
        <w:rPr>
          <w:rFonts w:ascii="Calibri" w:hAnsi="Calibri" w:cs="Calibri"/>
          <w:color w:val="000000"/>
        </w:rPr>
        <w:t>Publication in the Federal Register</w:t>
      </w:r>
      <w:r w:rsidR="00947509">
        <w:rPr>
          <w:rFonts w:ascii="Calibri" w:hAnsi="Calibri" w:cs="Calibri"/>
          <w:color w:val="000000"/>
        </w:rPr>
        <w:t xml:space="preserve">, a </w:t>
      </w:r>
      <w:r w:rsidRPr="00797132">
        <w:rPr>
          <w:rFonts w:ascii="Calibri" w:hAnsi="Calibri" w:cs="Calibri"/>
          <w:color w:val="000000"/>
        </w:rPr>
        <w:t>sixty-day public comment period</w:t>
      </w:r>
      <w:r w:rsidR="00947509">
        <w:rPr>
          <w:rFonts w:ascii="Calibri" w:hAnsi="Calibri" w:cs="Calibri"/>
          <w:color w:val="000000"/>
        </w:rPr>
        <w:t xml:space="preserve"> is provided</w:t>
      </w:r>
      <w:r w:rsidRPr="00797132">
        <w:rPr>
          <w:rFonts w:ascii="Calibri" w:hAnsi="Calibri" w:cs="Calibri"/>
          <w:color w:val="000000"/>
        </w:rPr>
        <w:t>, inviting market input on definitions.</w:t>
      </w:r>
    </w:p>
    <w:p w14:paraId="02BFA403"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The proposal increases asset thresholds defining “small entities,” recognising structural growth across investment products and advisory businesses.</w:t>
      </w:r>
    </w:p>
    <w:p w14:paraId="0D03B1BA"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For investment companies, the threshold would rise from USD 50 million in net assets to</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USD 10 billion</w:t>
      </w:r>
      <w:r w:rsidRPr="00797132">
        <w:rPr>
          <w:rFonts w:ascii="Calibri" w:hAnsi="Calibri" w:cs="Calibri"/>
          <w:color w:val="000000"/>
        </w:rPr>
        <w:t>, measured at the</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fund family level</w:t>
      </w:r>
      <w:r w:rsidRPr="00797132">
        <w:rPr>
          <w:rFonts w:ascii="Calibri" w:hAnsi="Calibri" w:cs="Calibri"/>
          <w:color w:val="000000"/>
        </w:rPr>
        <w:t>, not the individual fund.</w:t>
      </w:r>
    </w:p>
    <w:p w14:paraId="61C5ED9C"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For investment advisers, the “small adviser” threshold would increase from</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USD 25 million RAUM to USD 1 billion RAUM</w:t>
      </w:r>
      <w:r w:rsidRPr="00797132">
        <w:rPr>
          <w:rFonts w:ascii="Calibri" w:hAnsi="Calibri" w:cs="Calibri"/>
          <w:color w:val="000000"/>
        </w:rPr>
        <w:t>, with aligned control-relationship tests.</w:t>
      </w:r>
    </w:p>
    <w:p w14:paraId="10C94CCB" w14:textId="09A532DB"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 xml:space="preserve">The aggregation methodology is </w:t>
      </w:r>
      <w:r w:rsidR="00947509">
        <w:rPr>
          <w:rFonts w:ascii="Calibri" w:hAnsi="Calibri" w:cs="Calibri"/>
          <w:color w:val="000000"/>
        </w:rPr>
        <w:t>amended</w:t>
      </w:r>
      <w:r w:rsidRPr="00797132">
        <w:rPr>
          <w:rFonts w:ascii="Calibri" w:hAnsi="Calibri" w:cs="Calibri"/>
          <w:color w:val="000000"/>
        </w:rPr>
        <w:t xml:space="preserve"> by replacing the ambiguous “group of related investment companies” concept with the operationally clearer</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“family of investment companies”</w:t>
      </w:r>
      <w:r w:rsidRPr="00797132">
        <w:rPr>
          <w:rStyle w:val="apple-converted-space"/>
          <w:rFonts w:ascii="Calibri" w:eastAsiaTheme="majorEastAsia" w:hAnsi="Calibri" w:cs="Calibri"/>
          <w:color w:val="000000"/>
        </w:rPr>
        <w:t> </w:t>
      </w:r>
      <w:r w:rsidRPr="00797132">
        <w:rPr>
          <w:rFonts w:ascii="Calibri" w:hAnsi="Calibri" w:cs="Calibri"/>
          <w:color w:val="000000"/>
        </w:rPr>
        <w:t>as reported on Form N-CEN.</w:t>
      </w:r>
    </w:p>
    <w:p w14:paraId="61FD9A4C"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The proposal introduces a formal</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inflation-adjustment mechanism every ten years</w:t>
      </w:r>
      <w:r w:rsidRPr="00797132">
        <w:rPr>
          <w:rFonts w:ascii="Calibri" w:hAnsi="Calibri" w:cs="Calibri"/>
          <w:color w:val="000000"/>
        </w:rPr>
        <w:t>, by Commission order, preventing thresholds from becoming obsolete.</w:t>
      </w:r>
    </w:p>
    <w:p w14:paraId="5915479D" w14:textId="77777777" w:rsidR="00D455B8" w:rsidRPr="00797132" w:rsidRDefault="00D455B8" w:rsidP="00797132">
      <w:pPr>
        <w:pStyle w:val="ac"/>
        <w:numPr>
          <w:ilvl w:val="0"/>
          <w:numId w:val="1"/>
        </w:numPr>
        <w:jc w:val="both"/>
        <w:rPr>
          <w:rFonts w:ascii="Calibri" w:hAnsi="Calibri" w:cs="Calibri"/>
          <w:color w:val="000000"/>
        </w:rPr>
      </w:pPr>
      <w:r w:rsidRPr="00797132">
        <w:rPr>
          <w:rStyle w:val="whitespace-normal"/>
          <w:rFonts w:ascii="Calibri" w:eastAsiaTheme="majorEastAsia" w:hAnsi="Calibri" w:cs="Calibri"/>
          <w:color w:val="000000"/>
        </w:rPr>
        <w:t>Paul S. Atkins</w:t>
      </w:r>
      <w:r w:rsidRPr="00797132">
        <w:rPr>
          <w:rStyle w:val="apple-converted-space"/>
          <w:rFonts w:ascii="Calibri" w:eastAsiaTheme="majorEastAsia" w:hAnsi="Calibri" w:cs="Calibri"/>
          <w:color w:val="000000"/>
        </w:rPr>
        <w:t> </w:t>
      </w:r>
      <w:r w:rsidRPr="00797132">
        <w:rPr>
          <w:rFonts w:ascii="Calibri" w:hAnsi="Calibri" w:cs="Calibri"/>
          <w:color w:val="000000"/>
        </w:rPr>
        <w:t>emphasised that the amendments advance the SEC’s commitment to accurately capturing which entities are “small” and to minimising significant economic impacts on them.</w:t>
      </w:r>
    </w:p>
    <w:p w14:paraId="206926C8"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The initiative is designed to improve the precision of regulatory impact analyses, not to relax substantive compliance standards.</w:t>
      </w:r>
    </w:p>
    <w:p w14:paraId="7D018AD6" w14:textId="77777777" w:rsidR="00D455B8" w:rsidRPr="00797132" w:rsidRDefault="00D455B8" w:rsidP="00797132">
      <w:pPr>
        <w:pStyle w:val="ac"/>
        <w:numPr>
          <w:ilvl w:val="0"/>
          <w:numId w:val="1"/>
        </w:numPr>
        <w:jc w:val="both"/>
        <w:rPr>
          <w:rFonts w:ascii="Calibri" w:hAnsi="Calibri" w:cs="Calibri"/>
          <w:color w:val="000000"/>
        </w:rPr>
      </w:pPr>
      <w:r w:rsidRPr="00797132">
        <w:rPr>
          <w:rFonts w:ascii="Calibri" w:hAnsi="Calibri" w:cs="Calibri"/>
          <w:color w:val="000000"/>
        </w:rPr>
        <w:t>Public comments will be accepted for</w:t>
      </w:r>
      <w:r w:rsidRPr="00797132">
        <w:rPr>
          <w:rStyle w:val="apple-converted-space"/>
          <w:rFonts w:ascii="Calibri" w:eastAsiaTheme="majorEastAsia" w:hAnsi="Calibri" w:cs="Calibri"/>
          <w:color w:val="000000"/>
        </w:rPr>
        <w:t> </w:t>
      </w:r>
      <w:r w:rsidRPr="00797132">
        <w:rPr>
          <w:rStyle w:val="ad"/>
          <w:rFonts w:ascii="Calibri" w:eastAsiaTheme="majorEastAsia" w:hAnsi="Calibri" w:cs="Calibri"/>
          <w:b w:val="0"/>
          <w:bCs w:val="0"/>
          <w:color w:val="000000"/>
        </w:rPr>
        <w:t>sixty days</w:t>
      </w:r>
      <w:r w:rsidRPr="00797132">
        <w:rPr>
          <w:rStyle w:val="apple-converted-space"/>
          <w:rFonts w:ascii="Calibri" w:eastAsiaTheme="majorEastAsia" w:hAnsi="Calibri" w:cs="Calibri"/>
          <w:color w:val="000000"/>
        </w:rPr>
        <w:t> </w:t>
      </w:r>
      <w:r w:rsidRPr="00797132">
        <w:rPr>
          <w:rFonts w:ascii="Calibri" w:hAnsi="Calibri" w:cs="Calibri"/>
          <w:color w:val="000000"/>
        </w:rPr>
        <w:t>following publication in the Federal Register.</w:t>
      </w:r>
    </w:p>
    <w:p w14:paraId="6382FA0C" w14:textId="6703B667" w:rsidR="006F0712" w:rsidRPr="006F0712" w:rsidRDefault="00D455B8" w:rsidP="006F0712">
      <w:pPr>
        <w:pStyle w:val="ac"/>
        <w:numPr>
          <w:ilvl w:val="0"/>
          <w:numId w:val="1"/>
        </w:numPr>
        <w:jc w:val="both"/>
        <w:rPr>
          <w:rFonts w:ascii="Calibri" w:hAnsi="Calibri" w:cs="Calibri"/>
          <w:color w:val="000000"/>
        </w:rPr>
      </w:pPr>
      <w:r w:rsidRPr="00797132">
        <w:rPr>
          <w:rFonts w:ascii="Calibri" w:hAnsi="Calibri" w:cs="Calibri"/>
          <w:color w:val="000000"/>
        </w:rPr>
        <w:t>For market participants, the proposal affects how future SEC rules assess economic impact and compliance burden, aligning legacy definitions with modern asset growth and consolidation patterns.</w:t>
      </w:r>
    </w:p>
    <w:p w14:paraId="3027E1C4" w14:textId="51562442" w:rsidR="006F0712" w:rsidRPr="006F0712" w:rsidRDefault="006F0712" w:rsidP="006F0712">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7315F1" w:rsidRPr="007315F1">
        <w:rPr>
          <w:rStyle w:val="s1"/>
          <w:rFonts w:ascii="Calibri" w:eastAsiaTheme="majorEastAsia" w:hAnsi="Calibri" w:cs="Calibri"/>
          <w:color w:val="E97132" w:themeColor="accent2"/>
          <w:sz w:val="22"/>
          <w:szCs w:val="22"/>
          <w:bdr w:val="none" w:sz="0" w:space="0" w:color="auto" w:frame="1"/>
        </w:rPr>
        <w:fldChar w:fldCharType="begin"/>
      </w:r>
      <w:r w:rsidR="007315F1" w:rsidRPr="007315F1">
        <w:rPr>
          <w:rStyle w:val="s1"/>
          <w:rFonts w:ascii="Calibri" w:eastAsiaTheme="majorEastAsia" w:hAnsi="Calibri" w:cs="Calibri"/>
          <w:color w:val="E97132" w:themeColor="accent2"/>
          <w:sz w:val="22"/>
          <w:szCs w:val="22"/>
          <w:bdr w:val="none" w:sz="0" w:space="0" w:color="auto" w:frame="1"/>
        </w:rPr>
        <w:instrText>HYPERLINK "https://charltonsquantum.com/united-states-sec-proposes-updated-small-entity-thresholds-under-regulatory-flexibility-act/"</w:instrText>
      </w:r>
      <w:r w:rsidR="007315F1" w:rsidRPr="007315F1">
        <w:rPr>
          <w:rStyle w:val="s1"/>
          <w:rFonts w:ascii="Calibri" w:eastAsiaTheme="majorEastAsia" w:hAnsi="Calibri" w:cs="Calibri"/>
          <w:color w:val="E97132" w:themeColor="accent2"/>
          <w:sz w:val="22"/>
          <w:szCs w:val="22"/>
          <w:bdr w:val="none" w:sz="0" w:space="0" w:color="auto" w:frame="1"/>
        </w:rPr>
      </w:r>
      <w:r w:rsidR="007315F1" w:rsidRPr="007315F1">
        <w:rPr>
          <w:rStyle w:val="s1"/>
          <w:rFonts w:ascii="Calibri" w:eastAsiaTheme="majorEastAsia" w:hAnsi="Calibri" w:cs="Calibri"/>
          <w:color w:val="E97132" w:themeColor="accent2"/>
          <w:sz w:val="22"/>
          <w:szCs w:val="22"/>
          <w:bdr w:val="none" w:sz="0" w:space="0" w:color="auto" w:frame="1"/>
        </w:rPr>
        <w:fldChar w:fldCharType="separate"/>
      </w:r>
      <w:r w:rsidR="007315F1" w:rsidRPr="007315F1">
        <w:rPr>
          <w:rStyle w:val="ae"/>
          <w:rFonts w:ascii="Calibri" w:eastAsiaTheme="majorEastAsia" w:hAnsi="Calibri" w:cs="Calibri"/>
          <w:color w:val="E97132" w:themeColor="accent2"/>
          <w:sz w:val="22"/>
          <w:szCs w:val="22"/>
          <w:bdr w:val="none" w:sz="0" w:space="0" w:color="auto" w:frame="1"/>
        </w:rPr>
        <w:t>https://charltonsquantum.com/united-states-sec-proposes-updated-small-entity-thresholds-under-regulatory-flexibility-act/</w:t>
      </w:r>
      <w:r w:rsidR="007315F1" w:rsidRPr="007315F1">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BCE3082" w14:textId="77777777" w:rsidR="006F0712" w:rsidRPr="00797132" w:rsidRDefault="006F0712" w:rsidP="006F0712">
      <w:pPr>
        <w:pStyle w:val="ac"/>
        <w:jc w:val="both"/>
        <w:rPr>
          <w:rFonts w:ascii="Calibri" w:hAnsi="Calibri" w:cs="Calibri"/>
          <w:color w:val="000000"/>
        </w:rPr>
      </w:pPr>
    </w:p>
    <w:p w14:paraId="3425E938" w14:textId="13B22B67" w:rsidR="00D455B8" w:rsidRPr="00797132" w:rsidRDefault="00D455B8" w:rsidP="00797132">
      <w:pPr>
        <w:pStyle w:val="ac"/>
        <w:jc w:val="both"/>
        <w:rPr>
          <w:rFonts w:ascii="Calibri" w:hAnsi="Calibri" w:cs="Calibri"/>
          <w:color w:val="000000"/>
        </w:rPr>
      </w:pPr>
      <w:r w:rsidRPr="00797132">
        <w:rPr>
          <w:rStyle w:val="ad"/>
          <w:rFonts w:ascii="Calibri" w:eastAsiaTheme="majorEastAsia" w:hAnsi="Calibri" w:cs="Calibri"/>
          <w:color w:val="000000"/>
        </w:rPr>
        <w:t>United States SEC–FINRA–MSRB Announce Joint Virtual Compliance Outreach for Municipal Market Professionals on 21 January 2026</w:t>
      </w:r>
    </w:p>
    <w:p w14:paraId="2D70DC97" w14:textId="18611F4B" w:rsidR="00D455B8" w:rsidRPr="00797132" w:rsidRDefault="00797132" w:rsidP="00797132">
      <w:pPr>
        <w:pStyle w:val="ac"/>
        <w:jc w:val="both"/>
        <w:rPr>
          <w:rFonts w:ascii="Calibri" w:hAnsi="Calibri" w:cs="Calibri"/>
          <w:color w:val="000000"/>
        </w:rPr>
      </w:pPr>
      <w:r w:rsidRPr="00797132">
        <w:rPr>
          <w:rFonts w:ascii="Calibri" w:hAnsi="Calibri" w:cs="Calibri"/>
          <w:color w:val="000000"/>
        </w:rPr>
        <w:lastRenderedPageBreak/>
        <w:t>T</w:t>
      </w:r>
      <w:r w:rsidR="00D455B8" w:rsidRPr="00797132">
        <w:rPr>
          <w:rFonts w:ascii="Calibri" w:hAnsi="Calibri" w:cs="Calibri"/>
          <w:color w:val="000000"/>
        </w:rPr>
        <w:t>he</w:t>
      </w:r>
      <w:r w:rsidR="00D455B8" w:rsidRPr="00797132">
        <w:rPr>
          <w:rStyle w:val="apple-converted-space"/>
          <w:rFonts w:ascii="Calibri" w:eastAsiaTheme="majorEastAsia" w:hAnsi="Calibri" w:cs="Calibri"/>
          <w:color w:val="000000"/>
        </w:rPr>
        <w:t> </w:t>
      </w:r>
      <w:r w:rsidR="00D455B8" w:rsidRPr="00797132">
        <w:rPr>
          <w:rStyle w:val="whitespace-normal"/>
          <w:rFonts w:ascii="Calibri" w:eastAsiaTheme="majorEastAsia" w:hAnsi="Calibri" w:cs="Calibri"/>
          <w:color w:val="000000"/>
        </w:rPr>
        <w:t>U.S. Securities and Exchange Commission</w:t>
      </w:r>
      <w:r w:rsidR="00D455B8" w:rsidRPr="00797132">
        <w:rPr>
          <w:rFonts w:ascii="Calibri" w:hAnsi="Calibri" w:cs="Calibri"/>
          <w:color w:val="000000"/>
        </w:rPr>
        <w:t>, in collaboration with the</w:t>
      </w:r>
      <w:r w:rsidR="00D455B8" w:rsidRPr="00797132">
        <w:rPr>
          <w:rStyle w:val="apple-converted-space"/>
          <w:rFonts w:ascii="Calibri" w:eastAsiaTheme="majorEastAsia" w:hAnsi="Calibri" w:cs="Calibri"/>
          <w:color w:val="000000"/>
        </w:rPr>
        <w:t> </w:t>
      </w:r>
      <w:r w:rsidR="00D455B8" w:rsidRPr="00797132">
        <w:rPr>
          <w:rStyle w:val="whitespace-normal"/>
          <w:rFonts w:ascii="Calibri" w:eastAsiaTheme="majorEastAsia" w:hAnsi="Calibri" w:cs="Calibri"/>
          <w:color w:val="000000"/>
        </w:rPr>
        <w:t>Financial Industry Regulatory Authority</w:t>
      </w:r>
      <w:r w:rsidR="00D455B8" w:rsidRPr="00797132">
        <w:rPr>
          <w:rStyle w:val="apple-converted-space"/>
          <w:rFonts w:ascii="Calibri" w:eastAsiaTheme="majorEastAsia" w:hAnsi="Calibri" w:cs="Calibri"/>
          <w:color w:val="000000"/>
        </w:rPr>
        <w:t> </w:t>
      </w:r>
      <w:r w:rsidR="00D455B8" w:rsidRPr="00797132">
        <w:rPr>
          <w:rFonts w:ascii="Calibri" w:hAnsi="Calibri" w:cs="Calibri"/>
          <w:color w:val="000000"/>
        </w:rPr>
        <w:t>and the</w:t>
      </w:r>
      <w:r w:rsidR="00D455B8" w:rsidRPr="00797132">
        <w:rPr>
          <w:rStyle w:val="apple-converted-space"/>
          <w:rFonts w:ascii="Calibri" w:eastAsiaTheme="majorEastAsia" w:hAnsi="Calibri" w:cs="Calibri"/>
          <w:color w:val="000000"/>
        </w:rPr>
        <w:t> </w:t>
      </w:r>
      <w:r w:rsidR="00D455B8" w:rsidRPr="00797132">
        <w:rPr>
          <w:rStyle w:val="whitespace-normal"/>
          <w:rFonts w:ascii="Calibri" w:eastAsiaTheme="majorEastAsia" w:hAnsi="Calibri" w:cs="Calibri"/>
          <w:color w:val="000000"/>
        </w:rPr>
        <w:t>Municipal Securities Rulemaking Board</w:t>
      </w:r>
      <w:r w:rsidR="00D455B8" w:rsidRPr="00797132">
        <w:rPr>
          <w:rFonts w:ascii="Calibri" w:hAnsi="Calibri" w:cs="Calibri"/>
          <w:color w:val="000000"/>
        </w:rPr>
        <w:t xml:space="preserve">, will commence a two-day </w:t>
      </w:r>
      <w:hyperlink r:id="rId12" w:history="1">
        <w:r w:rsidR="00D455B8" w:rsidRPr="007315F1">
          <w:rPr>
            <w:rStyle w:val="ae"/>
            <w:rFonts w:ascii="Calibri" w:hAnsi="Calibri" w:cs="Calibri"/>
            <w:color w:val="E97132" w:themeColor="accent2"/>
          </w:rPr>
          <w:t>joint virtual compliance outreach programme for municipal market professionals</w:t>
        </w:r>
        <w:r w:rsidRPr="007315F1">
          <w:rPr>
            <w:rStyle w:val="ae"/>
            <w:rFonts w:ascii="Calibri" w:hAnsi="Calibri" w:cs="Calibri"/>
            <w:color w:val="E97132" w:themeColor="accent2"/>
          </w:rPr>
          <w:t xml:space="preserve"> On</w:t>
        </w:r>
        <w:r w:rsidRPr="007315F1">
          <w:rPr>
            <w:rStyle w:val="ae"/>
            <w:rFonts w:ascii="Calibri" w:eastAsiaTheme="majorEastAsia" w:hAnsi="Calibri" w:cs="Calibri"/>
            <w:color w:val="E97132" w:themeColor="accent2"/>
          </w:rPr>
          <w:t> 21 January 2026</w:t>
        </w:r>
      </w:hyperlink>
      <w:r w:rsidR="00D455B8" w:rsidRPr="00797132">
        <w:rPr>
          <w:rFonts w:ascii="Calibri" w:hAnsi="Calibri" w:cs="Calibri"/>
          <w:color w:val="000000"/>
        </w:rPr>
        <w:t>. The initiative, rescheduled from November</w:t>
      </w:r>
      <w:r w:rsidRPr="00797132">
        <w:rPr>
          <w:rFonts w:ascii="Calibri" w:hAnsi="Calibri" w:cs="Calibri"/>
          <w:color w:val="000000"/>
        </w:rPr>
        <w:t>, is de</w:t>
      </w:r>
      <w:r w:rsidR="00D455B8" w:rsidRPr="00797132">
        <w:rPr>
          <w:rFonts w:ascii="Calibri" w:hAnsi="Calibri" w:cs="Calibri"/>
          <w:color w:val="000000"/>
        </w:rPr>
        <w:t>signed for municipal advisors, broker-dealers, and related market participants, the programme will run daily from noon to approximately 5:00 p.m. and will focus on practical compliance expectations, supervisory priorities, and enforcement risk calibration.</w:t>
      </w:r>
    </w:p>
    <w:p w14:paraId="5DCB6AA0" w14:textId="232F5822" w:rsidR="00D455B8" w:rsidRPr="00797132" w:rsidRDefault="00D455B8" w:rsidP="00797132">
      <w:pPr>
        <w:pStyle w:val="ac"/>
        <w:numPr>
          <w:ilvl w:val="0"/>
          <w:numId w:val="3"/>
        </w:numPr>
        <w:jc w:val="both"/>
        <w:rPr>
          <w:rFonts w:ascii="Calibri" w:hAnsi="Calibri" w:cs="Calibri"/>
          <w:color w:val="000000"/>
        </w:rPr>
      </w:pPr>
      <w:r w:rsidRPr="00797132">
        <w:rPr>
          <w:rFonts w:ascii="Calibri" w:hAnsi="Calibri" w:cs="Calibri"/>
          <w:color w:val="000000"/>
        </w:rPr>
        <w:t xml:space="preserve">The programme is jointly led by the SEC, FINRA, and the MSRB, </w:t>
      </w:r>
      <w:r w:rsidR="00947509">
        <w:rPr>
          <w:rFonts w:ascii="Calibri" w:hAnsi="Calibri" w:cs="Calibri"/>
          <w:color w:val="000000"/>
        </w:rPr>
        <w:t xml:space="preserve">as </w:t>
      </w:r>
      <w:r w:rsidRPr="00797132">
        <w:rPr>
          <w:rFonts w:ascii="Calibri" w:hAnsi="Calibri" w:cs="Calibri"/>
          <w:color w:val="000000"/>
        </w:rPr>
        <w:t>integrated oversight of the U.S. municipal securities market.</w:t>
      </w:r>
    </w:p>
    <w:p w14:paraId="5FC6758B" w14:textId="77777777" w:rsidR="00D455B8" w:rsidRPr="00797132" w:rsidRDefault="00D455B8" w:rsidP="00797132">
      <w:pPr>
        <w:pStyle w:val="ac"/>
        <w:numPr>
          <w:ilvl w:val="0"/>
          <w:numId w:val="3"/>
        </w:numPr>
        <w:jc w:val="both"/>
        <w:rPr>
          <w:rFonts w:ascii="Calibri" w:hAnsi="Calibri" w:cs="Calibri"/>
          <w:color w:val="000000"/>
        </w:rPr>
      </w:pPr>
      <w:r w:rsidRPr="00797132">
        <w:rPr>
          <w:rFonts w:ascii="Calibri" w:hAnsi="Calibri" w:cs="Calibri"/>
          <w:color w:val="000000"/>
        </w:rPr>
        <w:t>Target participants include municipal advisors, broker-dealers, and market professionals involved in issuance, trading, or advisory activity.</w:t>
      </w:r>
    </w:p>
    <w:p w14:paraId="5B984FED" w14:textId="77777777" w:rsidR="00D455B8" w:rsidRPr="00797132" w:rsidRDefault="00D455B8" w:rsidP="00797132">
      <w:pPr>
        <w:pStyle w:val="ac"/>
        <w:numPr>
          <w:ilvl w:val="0"/>
          <w:numId w:val="3"/>
        </w:numPr>
        <w:jc w:val="both"/>
        <w:rPr>
          <w:rFonts w:ascii="Calibri" w:hAnsi="Calibri" w:cs="Calibri"/>
          <w:color w:val="000000"/>
        </w:rPr>
      </w:pPr>
      <w:r w:rsidRPr="00797132">
        <w:rPr>
          <w:rFonts w:ascii="Calibri" w:hAnsi="Calibri" w:cs="Calibri"/>
          <w:color w:val="000000"/>
        </w:rPr>
        <w:t>Core themes include disclosure standards, conduct obligations, supervisory controls, and enforcement risk in municipal finance transactions.</w:t>
      </w:r>
    </w:p>
    <w:p w14:paraId="113FD0DA" w14:textId="45FE3566" w:rsidR="006F0712" w:rsidRPr="006F0712" w:rsidRDefault="00D455B8" w:rsidP="006F0712">
      <w:pPr>
        <w:pStyle w:val="ac"/>
        <w:numPr>
          <w:ilvl w:val="0"/>
          <w:numId w:val="3"/>
        </w:numPr>
        <w:jc w:val="both"/>
        <w:rPr>
          <w:rFonts w:ascii="Calibri" w:hAnsi="Calibri" w:cs="Calibri"/>
          <w:color w:val="000000"/>
        </w:rPr>
      </w:pPr>
      <w:r w:rsidRPr="00797132">
        <w:rPr>
          <w:rFonts w:ascii="Calibri" w:hAnsi="Calibri" w:cs="Calibri"/>
          <w:color w:val="000000"/>
        </w:rPr>
        <w:t>Inter-agency coordination will be a central focus, offering clarity on how supervisory responsibilities are shared and operationalised across regulators.</w:t>
      </w:r>
    </w:p>
    <w:p w14:paraId="5E81F842" w14:textId="2BDF2C3D" w:rsidR="006F0712" w:rsidRPr="006F0712" w:rsidRDefault="006F0712" w:rsidP="006F0712">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7315F1" w:rsidRPr="007315F1">
        <w:rPr>
          <w:rStyle w:val="s1"/>
          <w:rFonts w:ascii="Calibri" w:eastAsiaTheme="majorEastAsia" w:hAnsi="Calibri" w:cs="Calibri"/>
          <w:color w:val="E97132" w:themeColor="accent2"/>
          <w:sz w:val="22"/>
          <w:szCs w:val="22"/>
          <w:bdr w:val="none" w:sz="0" w:space="0" w:color="auto" w:frame="1"/>
        </w:rPr>
        <w:fldChar w:fldCharType="begin"/>
      </w:r>
      <w:r w:rsidR="007315F1" w:rsidRPr="007315F1">
        <w:rPr>
          <w:rStyle w:val="s1"/>
          <w:rFonts w:ascii="Calibri" w:eastAsiaTheme="majorEastAsia" w:hAnsi="Calibri" w:cs="Calibri"/>
          <w:color w:val="E97132" w:themeColor="accent2"/>
          <w:sz w:val="22"/>
          <w:szCs w:val="22"/>
          <w:bdr w:val="none" w:sz="0" w:space="0" w:color="auto" w:frame="1"/>
        </w:rPr>
        <w:instrText>HYPERLINK "https://charltonsquantum.com/united-states-sec-finra-msrb-announce-joint-virtual-compliance-outreach-for-municipal-market-professionals-on-21-january-2026/"</w:instrText>
      </w:r>
      <w:r w:rsidR="007315F1" w:rsidRPr="007315F1">
        <w:rPr>
          <w:rStyle w:val="s1"/>
          <w:rFonts w:ascii="Calibri" w:eastAsiaTheme="majorEastAsia" w:hAnsi="Calibri" w:cs="Calibri"/>
          <w:color w:val="E97132" w:themeColor="accent2"/>
          <w:sz w:val="22"/>
          <w:szCs w:val="22"/>
          <w:bdr w:val="none" w:sz="0" w:space="0" w:color="auto" w:frame="1"/>
        </w:rPr>
      </w:r>
      <w:r w:rsidR="007315F1" w:rsidRPr="007315F1">
        <w:rPr>
          <w:rStyle w:val="s1"/>
          <w:rFonts w:ascii="Calibri" w:eastAsiaTheme="majorEastAsia" w:hAnsi="Calibri" w:cs="Calibri"/>
          <w:color w:val="E97132" w:themeColor="accent2"/>
          <w:sz w:val="22"/>
          <w:szCs w:val="22"/>
          <w:bdr w:val="none" w:sz="0" w:space="0" w:color="auto" w:frame="1"/>
        </w:rPr>
        <w:fldChar w:fldCharType="separate"/>
      </w:r>
      <w:r w:rsidR="007315F1" w:rsidRPr="007315F1">
        <w:rPr>
          <w:rStyle w:val="ae"/>
          <w:rFonts w:ascii="Calibri" w:eastAsiaTheme="majorEastAsia" w:hAnsi="Calibri" w:cs="Calibri"/>
          <w:color w:val="E97132" w:themeColor="accent2"/>
          <w:sz w:val="22"/>
          <w:szCs w:val="22"/>
          <w:bdr w:val="none" w:sz="0" w:space="0" w:color="auto" w:frame="1"/>
        </w:rPr>
        <w:t>https</w:t>
      </w:r>
      <w:r w:rsidR="007315F1" w:rsidRPr="007315F1">
        <w:rPr>
          <w:rStyle w:val="ae"/>
          <w:rFonts w:ascii="Calibri" w:eastAsiaTheme="majorEastAsia" w:hAnsi="Calibri" w:cs="Calibri"/>
          <w:color w:val="E97132" w:themeColor="accent2"/>
          <w:sz w:val="22"/>
          <w:szCs w:val="22"/>
          <w:bdr w:val="none" w:sz="0" w:space="0" w:color="auto" w:frame="1"/>
        </w:rPr>
        <w:t>:</w:t>
      </w:r>
      <w:r w:rsidR="007315F1" w:rsidRPr="007315F1">
        <w:rPr>
          <w:rStyle w:val="ae"/>
          <w:rFonts w:ascii="Calibri" w:eastAsiaTheme="majorEastAsia" w:hAnsi="Calibri" w:cs="Calibri"/>
          <w:color w:val="E97132" w:themeColor="accent2"/>
          <w:sz w:val="22"/>
          <w:szCs w:val="22"/>
          <w:bdr w:val="none" w:sz="0" w:space="0" w:color="auto" w:frame="1"/>
        </w:rPr>
        <w:t>//charltonsquantum.com/united-states-sec-finra-msrb-announce-joint-virtual-compliance-outreach-for-municipal-market-professionals-on-21-january-2026/</w:t>
      </w:r>
      <w:r w:rsidR="007315F1" w:rsidRPr="007315F1">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3C154AE2" w14:textId="77777777" w:rsidR="00D455B8" w:rsidRPr="006F0712" w:rsidRDefault="00D455B8" w:rsidP="00797132">
      <w:pPr>
        <w:spacing w:line="240" w:lineRule="auto"/>
        <w:jc w:val="both"/>
        <w:rPr>
          <w:rFonts w:ascii="Calibri" w:hAnsi="Calibri" w:cs="Calibri"/>
          <w:lang w:val="ru-US"/>
        </w:rPr>
      </w:pPr>
    </w:p>
    <w:p w14:paraId="07B5F89A" w14:textId="77777777" w:rsidR="00D455B8" w:rsidRPr="006F0712" w:rsidRDefault="00D455B8" w:rsidP="00797132">
      <w:pPr>
        <w:spacing w:line="240" w:lineRule="auto"/>
        <w:jc w:val="both"/>
        <w:rPr>
          <w:rFonts w:ascii="Calibri" w:hAnsi="Calibri" w:cs="Calibri"/>
          <w:lang w:val="ru-US"/>
        </w:rPr>
      </w:pPr>
    </w:p>
    <w:p w14:paraId="76CCA07E" w14:textId="77777777" w:rsidR="006F0712" w:rsidRDefault="006F0712" w:rsidP="006F0712">
      <w:pPr>
        <w:pStyle w:val="ac"/>
        <w:jc w:val="both"/>
        <w:rPr>
          <w:rFonts w:ascii="Calibri" w:hAnsi="Calibri" w:cs="Calibri"/>
          <w:color w:val="000000"/>
          <w:lang w:val="ru-US"/>
        </w:rPr>
      </w:pPr>
    </w:p>
    <w:p w14:paraId="2CDB12C1" w14:textId="77777777" w:rsidR="001D2038" w:rsidRDefault="001D2038" w:rsidP="006F0712">
      <w:pPr>
        <w:pStyle w:val="ac"/>
        <w:jc w:val="both"/>
        <w:rPr>
          <w:rFonts w:ascii="Calibri" w:hAnsi="Calibri" w:cs="Calibri"/>
          <w:color w:val="000000"/>
          <w:lang w:val="ru-US"/>
        </w:rPr>
      </w:pPr>
    </w:p>
    <w:p w14:paraId="0F6B4F5E" w14:textId="77777777" w:rsidR="001D2038" w:rsidRDefault="001D2038" w:rsidP="006F0712">
      <w:pPr>
        <w:pStyle w:val="ac"/>
        <w:jc w:val="both"/>
        <w:rPr>
          <w:rFonts w:ascii="Calibri" w:hAnsi="Calibri" w:cs="Calibri"/>
          <w:color w:val="000000"/>
          <w:lang w:val="ru-US"/>
        </w:rPr>
      </w:pPr>
    </w:p>
    <w:p w14:paraId="338ED4B2" w14:textId="77777777" w:rsidR="001D2038" w:rsidRDefault="001D2038" w:rsidP="006F0712">
      <w:pPr>
        <w:pStyle w:val="ac"/>
        <w:jc w:val="both"/>
        <w:rPr>
          <w:rFonts w:ascii="Calibri" w:hAnsi="Calibri" w:cs="Calibri"/>
          <w:color w:val="000000"/>
          <w:lang w:val="ru-US"/>
        </w:rPr>
      </w:pPr>
    </w:p>
    <w:p w14:paraId="6CA42F97" w14:textId="77777777" w:rsidR="001D2038" w:rsidRDefault="001D2038" w:rsidP="006F0712">
      <w:pPr>
        <w:pStyle w:val="ac"/>
        <w:jc w:val="both"/>
        <w:rPr>
          <w:rFonts w:ascii="Calibri" w:hAnsi="Calibri" w:cs="Calibri"/>
          <w:color w:val="000000"/>
          <w:lang w:val="ru-US"/>
        </w:rPr>
      </w:pPr>
    </w:p>
    <w:p w14:paraId="523B1AF5" w14:textId="77777777" w:rsidR="001D2038" w:rsidRDefault="001D2038" w:rsidP="006F0712">
      <w:pPr>
        <w:pStyle w:val="ac"/>
        <w:jc w:val="both"/>
        <w:rPr>
          <w:rFonts w:ascii="Calibri" w:hAnsi="Calibri" w:cs="Calibri"/>
          <w:color w:val="000000"/>
          <w:lang w:val="ru-US"/>
        </w:rPr>
      </w:pPr>
    </w:p>
    <w:p w14:paraId="73414672" w14:textId="77777777" w:rsidR="001D2038" w:rsidRDefault="001D2038" w:rsidP="006F0712">
      <w:pPr>
        <w:pStyle w:val="ac"/>
        <w:jc w:val="both"/>
        <w:rPr>
          <w:rFonts w:ascii="Calibri" w:hAnsi="Calibri" w:cs="Calibri"/>
          <w:color w:val="000000"/>
          <w:lang w:val="ru-US"/>
        </w:rPr>
      </w:pPr>
    </w:p>
    <w:p w14:paraId="515281DB" w14:textId="77777777" w:rsidR="001D2038" w:rsidRDefault="001D2038" w:rsidP="006F0712">
      <w:pPr>
        <w:pStyle w:val="ac"/>
        <w:jc w:val="both"/>
        <w:rPr>
          <w:rFonts w:ascii="Calibri" w:hAnsi="Calibri" w:cs="Calibri"/>
          <w:color w:val="000000"/>
          <w:lang w:val="ru-US"/>
        </w:rPr>
      </w:pPr>
    </w:p>
    <w:p w14:paraId="46D9C30B" w14:textId="77777777" w:rsidR="001D2038" w:rsidRDefault="001D2038" w:rsidP="006F0712">
      <w:pPr>
        <w:pStyle w:val="ac"/>
        <w:jc w:val="both"/>
        <w:rPr>
          <w:rFonts w:ascii="Calibri" w:hAnsi="Calibri" w:cs="Calibri"/>
          <w:color w:val="000000"/>
          <w:lang w:val="ru-US"/>
        </w:rPr>
      </w:pPr>
    </w:p>
    <w:p w14:paraId="77565744" w14:textId="77777777" w:rsidR="001D2038" w:rsidRDefault="001D2038" w:rsidP="006F0712">
      <w:pPr>
        <w:pStyle w:val="ac"/>
        <w:jc w:val="both"/>
        <w:rPr>
          <w:rFonts w:ascii="Calibri" w:hAnsi="Calibri" w:cs="Calibri"/>
          <w:color w:val="000000"/>
          <w:lang w:val="ru-US"/>
        </w:rPr>
      </w:pPr>
    </w:p>
    <w:p w14:paraId="3E932B83" w14:textId="77777777" w:rsidR="001D2038" w:rsidRDefault="001D2038" w:rsidP="006F0712">
      <w:pPr>
        <w:pStyle w:val="ac"/>
        <w:jc w:val="both"/>
        <w:rPr>
          <w:rFonts w:ascii="Calibri" w:hAnsi="Calibri" w:cs="Calibri"/>
          <w:color w:val="000000"/>
          <w:lang w:val="ru-US"/>
        </w:rPr>
      </w:pPr>
    </w:p>
    <w:p w14:paraId="264F55EF" w14:textId="77777777" w:rsidR="001D2038" w:rsidRPr="006F0712" w:rsidRDefault="001D2038" w:rsidP="006F0712">
      <w:pPr>
        <w:pStyle w:val="ac"/>
        <w:jc w:val="both"/>
        <w:rPr>
          <w:rFonts w:ascii="Calibri" w:hAnsi="Calibri" w:cs="Calibri"/>
          <w:color w:val="000000"/>
          <w:lang w:val="ru-US"/>
        </w:rPr>
      </w:pPr>
    </w:p>
    <w:p w14:paraId="2335F0E5" w14:textId="77777777" w:rsidR="006F0712" w:rsidRPr="006F0712" w:rsidRDefault="006F0712" w:rsidP="006F0712">
      <w:pPr>
        <w:pStyle w:val="ac"/>
        <w:jc w:val="both"/>
        <w:rPr>
          <w:rFonts w:ascii="Calibri" w:hAnsi="Calibri" w:cs="Calibri"/>
          <w:color w:val="000000"/>
          <w:lang w:val="ru-US"/>
        </w:rPr>
      </w:pPr>
    </w:p>
    <w:p w14:paraId="6767430D" w14:textId="77777777" w:rsidR="006F0712" w:rsidRDefault="006F0712" w:rsidP="006F0712">
      <w:pPr>
        <w:rPr>
          <w:rFonts w:ascii="Arial" w:eastAsia="Arial" w:hAnsi="Arial" w:cs="Arial"/>
          <w:b/>
          <w:color w:val="00000A"/>
        </w:rPr>
      </w:pPr>
      <w:r>
        <w:rPr>
          <w:rFonts w:ascii="Arial" w:eastAsia="Arial" w:hAnsi="Arial" w:cs="Arial"/>
          <w:b/>
          <w:color w:val="00000A"/>
          <w:sz w:val="22"/>
          <w:szCs w:val="22"/>
        </w:rPr>
        <w:lastRenderedPageBreak/>
        <w:t>This newsletter is for information purposes only.</w:t>
      </w:r>
    </w:p>
    <w:p w14:paraId="7F843CF5"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0F239125"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628401F2"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7D4B8205"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4C7E33D"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13658AE2" w14:textId="77777777" w:rsidR="006F0712" w:rsidRDefault="006F0712" w:rsidP="006F0712">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 xml:space="preserve">If you do not wish to receive this newsletter please let us know by emailing us at  </w:t>
      </w:r>
      <w:hyperlink r:id="rId13">
        <w:r>
          <w:rPr>
            <w:rFonts w:ascii="Arial" w:eastAsia="Arial" w:hAnsi="Arial" w:cs="Arial"/>
            <w:color w:val="00000A"/>
            <w:sz w:val="22"/>
            <w:szCs w:val="22"/>
          </w:rPr>
          <w:t>unsubscribe@charltonslaw.com</w:t>
        </w:r>
      </w:hyperlink>
    </w:p>
    <w:p w14:paraId="0C3F1512" w14:textId="7A7F07EE" w:rsidR="00830768" w:rsidRPr="006F0712" w:rsidRDefault="006F0712" w:rsidP="006F0712">
      <w:pPr>
        <w:pBdr>
          <w:top w:val="nil"/>
          <w:left w:val="nil"/>
          <w:bottom w:val="nil"/>
          <w:right w:val="nil"/>
          <w:between w:val="nil"/>
        </w:pBdr>
        <w:shd w:val="clear" w:color="auto" w:fill="000000"/>
        <w:spacing w:after="200"/>
        <w:jc w:val="center"/>
        <w:rPr>
          <w:rFonts w:ascii="Arial" w:eastAsia="Arial" w:hAnsi="Arial" w:cs="Arial"/>
          <w:color w:val="FFFFFF"/>
          <w:lang w:val="en-US"/>
        </w:rPr>
      </w:pPr>
      <w:bookmarkStart w:id="0" w:name="_heading=h.mbil623dedjd" w:colFirst="0" w:colLast="0"/>
      <w:bookmarkEnd w:id="0"/>
      <w:proofErr w:type="spellStart"/>
      <w:r>
        <w:rPr>
          <w:rFonts w:ascii="Arial" w:eastAsia="Arial" w:hAnsi="Arial" w:cs="Arial"/>
          <w:color w:val="FFFFFF"/>
          <w:sz w:val="22"/>
          <w:szCs w:val="22"/>
        </w:rPr>
        <w:t>Charltons</w:t>
      </w:r>
      <w:proofErr w:type="spellEnd"/>
      <w:r>
        <w:rPr>
          <w:rFonts w:ascii="Arial" w:eastAsia="Arial" w:hAnsi="Arial" w:cs="Arial"/>
          <w:color w:val="FFFFFF"/>
          <w:sz w:val="22"/>
          <w:szCs w:val="22"/>
        </w:rPr>
        <w:t xml:space="preserve"> Quantum – Quantum Updates </w:t>
      </w:r>
      <w:r>
        <w:rPr>
          <w:rFonts w:ascii="Arial" w:eastAsia="Arial" w:hAnsi="Arial" w:cs="Arial"/>
          <w:color w:val="FFFFFF"/>
        </w:rPr>
        <w:t>6</w:t>
      </w:r>
      <w:r>
        <w:rPr>
          <w:rFonts w:ascii="Arial" w:eastAsia="Arial" w:hAnsi="Arial" w:cs="Arial"/>
          <w:color w:val="FFFFFF"/>
          <w:lang w:val="en-US"/>
        </w:rPr>
        <w:t>4</w:t>
      </w:r>
      <w:r>
        <w:rPr>
          <w:rFonts w:ascii="Arial" w:eastAsia="Arial" w:hAnsi="Arial" w:cs="Arial"/>
          <w:color w:val="FFFFFF"/>
          <w:sz w:val="22"/>
          <w:szCs w:val="22"/>
        </w:rPr>
        <w:t xml:space="preserve"> – </w:t>
      </w:r>
      <w:r>
        <w:rPr>
          <w:rFonts w:ascii="Arial" w:eastAsia="Arial" w:hAnsi="Arial" w:cs="Arial"/>
          <w:color w:val="FFFFFF"/>
          <w:lang w:val="en-US"/>
        </w:rPr>
        <w:t>February</w:t>
      </w:r>
      <w:r>
        <w:rPr>
          <w:rFonts w:ascii="Arial" w:eastAsia="Arial" w:hAnsi="Arial" w:cs="Arial"/>
          <w:color w:val="FFFFFF"/>
          <w:sz w:val="22"/>
          <w:szCs w:val="22"/>
        </w:rPr>
        <w:t xml:space="preserve"> 2026</w:t>
      </w:r>
    </w:p>
    <w:sectPr w:rsidR="00830768" w:rsidRPr="006F07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315C" w14:textId="77777777" w:rsidR="001F335F" w:rsidRDefault="001F335F" w:rsidP="006F0712">
      <w:pPr>
        <w:spacing w:after="0" w:line="240" w:lineRule="auto"/>
      </w:pPr>
      <w:r>
        <w:separator/>
      </w:r>
    </w:p>
  </w:endnote>
  <w:endnote w:type="continuationSeparator" w:id="0">
    <w:p w14:paraId="64952FA6" w14:textId="77777777" w:rsidR="001F335F" w:rsidRDefault="001F335F" w:rsidP="006F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AABF" w14:textId="77777777" w:rsidR="001F335F" w:rsidRDefault="001F335F" w:rsidP="006F0712">
      <w:pPr>
        <w:spacing w:after="0" w:line="240" w:lineRule="auto"/>
      </w:pPr>
      <w:r>
        <w:separator/>
      </w:r>
    </w:p>
  </w:footnote>
  <w:footnote w:type="continuationSeparator" w:id="0">
    <w:p w14:paraId="75FAB4A4" w14:textId="77777777" w:rsidR="001F335F" w:rsidRDefault="001F335F" w:rsidP="006F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623"/>
    <w:multiLevelType w:val="multilevel"/>
    <w:tmpl w:val="C66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A0C6D"/>
    <w:multiLevelType w:val="multilevel"/>
    <w:tmpl w:val="B46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34F6B"/>
    <w:multiLevelType w:val="multilevel"/>
    <w:tmpl w:val="F52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C302FA"/>
    <w:multiLevelType w:val="multilevel"/>
    <w:tmpl w:val="C16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14080"/>
    <w:multiLevelType w:val="multilevel"/>
    <w:tmpl w:val="5024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83108">
    <w:abstractNumId w:val="0"/>
  </w:num>
  <w:num w:numId="2" w16cid:durableId="1896619525">
    <w:abstractNumId w:val="1"/>
  </w:num>
  <w:num w:numId="3" w16cid:durableId="1177234590">
    <w:abstractNumId w:val="3"/>
  </w:num>
  <w:num w:numId="4" w16cid:durableId="1963656470">
    <w:abstractNumId w:val="2"/>
  </w:num>
  <w:num w:numId="5" w16cid:durableId="8565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B8"/>
    <w:rsid w:val="00082652"/>
    <w:rsid w:val="000A6696"/>
    <w:rsid w:val="001C422E"/>
    <w:rsid w:val="001D2038"/>
    <w:rsid w:val="001F335F"/>
    <w:rsid w:val="00456C51"/>
    <w:rsid w:val="006F0712"/>
    <w:rsid w:val="007315F1"/>
    <w:rsid w:val="00797132"/>
    <w:rsid w:val="00830768"/>
    <w:rsid w:val="008E3D18"/>
    <w:rsid w:val="00947509"/>
    <w:rsid w:val="009D50BD"/>
    <w:rsid w:val="00B9472B"/>
    <w:rsid w:val="00D455B8"/>
    <w:rsid w:val="00F91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CE81197"/>
  <w15:chartTrackingRefBased/>
  <w15:docId w15:val="{FF8478B7-889E-3141-8304-6A7BF9C8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5B8"/>
  </w:style>
  <w:style w:type="paragraph" w:styleId="1">
    <w:name w:val="heading 1"/>
    <w:basedOn w:val="a"/>
    <w:next w:val="a"/>
    <w:link w:val="10"/>
    <w:uiPriority w:val="9"/>
    <w:qFormat/>
    <w:rsid w:val="00D45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5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55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55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55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55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55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55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55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5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55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55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55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55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55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55B8"/>
    <w:rPr>
      <w:rFonts w:eastAsiaTheme="majorEastAsia" w:cstheme="majorBidi"/>
      <w:color w:val="595959" w:themeColor="text1" w:themeTint="A6"/>
    </w:rPr>
  </w:style>
  <w:style w:type="character" w:customStyle="1" w:styleId="80">
    <w:name w:val="Заголовок 8 Знак"/>
    <w:basedOn w:val="a0"/>
    <w:link w:val="8"/>
    <w:uiPriority w:val="9"/>
    <w:semiHidden/>
    <w:rsid w:val="00D455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55B8"/>
    <w:rPr>
      <w:rFonts w:eastAsiaTheme="majorEastAsia" w:cstheme="majorBidi"/>
      <w:color w:val="272727" w:themeColor="text1" w:themeTint="D8"/>
    </w:rPr>
  </w:style>
  <w:style w:type="paragraph" w:styleId="a3">
    <w:name w:val="Title"/>
    <w:basedOn w:val="a"/>
    <w:next w:val="a"/>
    <w:link w:val="a4"/>
    <w:uiPriority w:val="10"/>
    <w:qFormat/>
    <w:rsid w:val="00D45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5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5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55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55B8"/>
    <w:pPr>
      <w:spacing w:before="160"/>
      <w:jc w:val="center"/>
    </w:pPr>
    <w:rPr>
      <w:i/>
      <w:iCs/>
      <w:color w:val="404040" w:themeColor="text1" w:themeTint="BF"/>
    </w:rPr>
  </w:style>
  <w:style w:type="character" w:customStyle="1" w:styleId="22">
    <w:name w:val="Цитата 2 Знак"/>
    <w:basedOn w:val="a0"/>
    <w:link w:val="21"/>
    <w:uiPriority w:val="29"/>
    <w:rsid w:val="00D455B8"/>
    <w:rPr>
      <w:i/>
      <w:iCs/>
      <w:color w:val="404040" w:themeColor="text1" w:themeTint="BF"/>
    </w:rPr>
  </w:style>
  <w:style w:type="paragraph" w:styleId="a7">
    <w:name w:val="List Paragraph"/>
    <w:basedOn w:val="a"/>
    <w:uiPriority w:val="34"/>
    <w:qFormat/>
    <w:rsid w:val="00D455B8"/>
    <w:pPr>
      <w:ind w:left="720"/>
      <w:contextualSpacing/>
    </w:pPr>
  </w:style>
  <w:style w:type="character" w:styleId="a8">
    <w:name w:val="Intense Emphasis"/>
    <w:basedOn w:val="a0"/>
    <w:uiPriority w:val="21"/>
    <w:qFormat/>
    <w:rsid w:val="00D455B8"/>
    <w:rPr>
      <w:i/>
      <w:iCs/>
      <w:color w:val="0F4761" w:themeColor="accent1" w:themeShade="BF"/>
    </w:rPr>
  </w:style>
  <w:style w:type="paragraph" w:styleId="a9">
    <w:name w:val="Intense Quote"/>
    <w:basedOn w:val="a"/>
    <w:next w:val="a"/>
    <w:link w:val="aa"/>
    <w:uiPriority w:val="30"/>
    <w:qFormat/>
    <w:rsid w:val="00D45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55B8"/>
    <w:rPr>
      <w:i/>
      <w:iCs/>
      <w:color w:val="0F4761" w:themeColor="accent1" w:themeShade="BF"/>
    </w:rPr>
  </w:style>
  <w:style w:type="character" w:styleId="ab">
    <w:name w:val="Intense Reference"/>
    <w:basedOn w:val="a0"/>
    <w:uiPriority w:val="32"/>
    <w:qFormat/>
    <w:rsid w:val="00D455B8"/>
    <w:rPr>
      <w:b/>
      <w:bCs/>
      <w:smallCaps/>
      <w:color w:val="0F4761" w:themeColor="accent1" w:themeShade="BF"/>
      <w:spacing w:val="5"/>
    </w:rPr>
  </w:style>
  <w:style w:type="paragraph" w:styleId="ac">
    <w:name w:val="Normal (Web)"/>
    <w:basedOn w:val="a"/>
    <w:uiPriority w:val="99"/>
    <w:semiHidden/>
    <w:unhideWhenUsed/>
    <w:rsid w:val="00D455B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d">
    <w:name w:val="Strong"/>
    <w:basedOn w:val="a0"/>
    <w:uiPriority w:val="22"/>
    <w:qFormat/>
    <w:rsid w:val="00D455B8"/>
    <w:rPr>
      <w:b/>
      <w:bCs/>
    </w:rPr>
  </w:style>
  <w:style w:type="character" w:customStyle="1" w:styleId="apple-converted-space">
    <w:name w:val="apple-converted-space"/>
    <w:basedOn w:val="a0"/>
    <w:rsid w:val="00D455B8"/>
  </w:style>
  <w:style w:type="character" w:customStyle="1" w:styleId="whitespace-normal">
    <w:name w:val="whitespace-normal"/>
    <w:basedOn w:val="a0"/>
    <w:rsid w:val="00D455B8"/>
  </w:style>
  <w:style w:type="character" w:styleId="ae">
    <w:name w:val="Hyperlink"/>
    <w:basedOn w:val="a0"/>
    <w:uiPriority w:val="99"/>
    <w:unhideWhenUsed/>
    <w:rsid w:val="00947509"/>
    <w:rPr>
      <w:color w:val="467886" w:themeColor="hyperlink"/>
      <w:u w:val="single"/>
    </w:rPr>
  </w:style>
  <w:style w:type="character" w:styleId="af">
    <w:name w:val="Unresolved Mention"/>
    <w:basedOn w:val="a0"/>
    <w:uiPriority w:val="99"/>
    <w:semiHidden/>
    <w:unhideWhenUsed/>
    <w:rsid w:val="00947509"/>
    <w:rPr>
      <w:color w:val="605E5C"/>
      <w:shd w:val="clear" w:color="auto" w:fill="E1DFDD"/>
    </w:rPr>
  </w:style>
  <w:style w:type="character" w:customStyle="1" w:styleId="s1">
    <w:name w:val="s1"/>
    <w:basedOn w:val="a0"/>
    <w:rsid w:val="006F0712"/>
  </w:style>
  <w:style w:type="paragraph" w:customStyle="1" w:styleId="p2">
    <w:name w:val="p2"/>
    <w:basedOn w:val="a"/>
    <w:rsid w:val="006F0712"/>
    <w:pPr>
      <w:spacing w:before="100" w:beforeAutospacing="1" w:after="100" w:afterAutospacing="1" w:line="240" w:lineRule="auto"/>
    </w:pPr>
    <w:rPr>
      <w:rFonts w:ascii="Times New Roman" w:eastAsia="Times New Roman" w:hAnsi="Times New Roman" w:cs="Times New Roman"/>
      <w:kern w:val="0"/>
      <w:lang w:val="ru-US" w:eastAsia="ru-RU"/>
      <w14:ligatures w14:val="none"/>
    </w:rPr>
  </w:style>
  <w:style w:type="paragraph" w:styleId="af0">
    <w:name w:val="header"/>
    <w:basedOn w:val="a"/>
    <w:link w:val="af1"/>
    <w:uiPriority w:val="99"/>
    <w:unhideWhenUsed/>
    <w:rsid w:val="006F0712"/>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6F0712"/>
  </w:style>
  <w:style w:type="paragraph" w:styleId="af2">
    <w:name w:val="footer"/>
    <w:basedOn w:val="a"/>
    <w:link w:val="af3"/>
    <w:uiPriority w:val="99"/>
    <w:unhideWhenUsed/>
    <w:rsid w:val="006F0712"/>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6F0712"/>
  </w:style>
  <w:style w:type="character" w:styleId="af4">
    <w:name w:val="FollowedHyperlink"/>
    <w:basedOn w:val="a0"/>
    <w:uiPriority w:val="99"/>
    <w:semiHidden/>
    <w:unhideWhenUsed/>
    <w:rsid w:val="007315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gov.sg/-/media/mas/news/media-releases/2026/board-of-directors-of-the-monetary-authority-of-singapore-wef-1-jan-2026.pdf"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charltonsquantum.com/monetary-authority-of-singapore-announces-board-governance-update-effective-1-january-2026/" TargetMode="External"/><Relationship Id="rId12" Type="http://schemas.openxmlformats.org/officeDocument/2006/relationships/hyperlink" Target="https://www.sec.gov/newsroom/meetings-events/joint-compliance-outreach-program-municipal-advisors-dealers-other-market-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gov/newsroom/press-releases/2026-1-sec-proposes-amendments-small-entity-definitions-investment-companies-investment-advisers-purpo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gov.sg/news/speeches/2026/sti-60th-anniversary_writing-the-next-chapter" TargetMode="External"/><Relationship Id="rId4" Type="http://schemas.openxmlformats.org/officeDocument/2006/relationships/webSettings" Target="webSettings.xml"/><Relationship Id="rId9" Type="http://schemas.openxmlformats.org/officeDocument/2006/relationships/hyperlink" Target="https://www.mas.gov.sg/news/media-releases/2026/change-to-board-member-of-m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Microsoft Office User</cp:lastModifiedBy>
  <cp:revision>8</cp:revision>
  <dcterms:created xsi:type="dcterms:W3CDTF">2026-01-12T12:33:00Z</dcterms:created>
  <dcterms:modified xsi:type="dcterms:W3CDTF">2026-02-04T23:15:00Z</dcterms:modified>
</cp:coreProperties>
</file>