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57A6" w14:textId="6B7C51E1" w:rsidR="000A6023" w:rsidRDefault="000A6023" w:rsidP="000A6023">
      <w:pPr>
        <w:shd w:val="clear" w:color="auto" w:fill="000000"/>
        <w:jc w:val="center"/>
        <w:rPr>
          <w:rFonts w:ascii="Arial" w:eastAsia="Arial" w:hAnsi="Arial" w:cs="Arial"/>
          <w:color w:val="FFFFFF"/>
        </w:rPr>
      </w:pPr>
      <w:proofErr w:type="spellStart"/>
      <w:r>
        <w:rPr>
          <w:rFonts w:ascii="Arial" w:eastAsia="Arial" w:hAnsi="Arial" w:cs="Arial"/>
          <w:color w:val="FFFFFF"/>
        </w:rPr>
        <w:t>Charltons</w:t>
      </w:r>
      <w:proofErr w:type="spellEnd"/>
      <w:r>
        <w:rPr>
          <w:rFonts w:ascii="Arial" w:eastAsia="Arial" w:hAnsi="Arial" w:cs="Arial"/>
          <w:color w:val="FFFFFF"/>
        </w:rPr>
        <w:t xml:space="preserve"> Quantum – Quantum Updates 6</w:t>
      </w:r>
      <w:r>
        <w:rPr>
          <w:rFonts w:ascii="Arial" w:eastAsia="Arial" w:hAnsi="Arial" w:cs="Arial"/>
          <w:color w:val="FFFFFF"/>
        </w:rPr>
        <w:t>5</w:t>
      </w:r>
      <w:r>
        <w:rPr>
          <w:rFonts w:ascii="Arial" w:eastAsia="Arial" w:hAnsi="Arial" w:cs="Arial"/>
          <w:color w:val="FFFFFF"/>
        </w:rPr>
        <w:t xml:space="preserve"> – </w:t>
      </w:r>
      <w:r>
        <w:rPr>
          <w:rFonts w:ascii="Arial" w:eastAsia="Arial" w:hAnsi="Arial" w:cs="Arial"/>
          <w:color w:val="FFFFFF"/>
        </w:rPr>
        <w:t>March</w:t>
      </w:r>
      <w:r>
        <w:rPr>
          <w:rFonts w:ascii="Arial" w:eastAsia="Arial" w:hAnsi="Arial" w:cs="Arial"/>
          <w:color w:val="FFFFFF"/>
        </w:rPr>
        <w:t xml:space="preserve"> 2026</w:t>
      </w:r>
    </w:p>
    <w:p w14:paraId="164BCA15" w14:textId="3ACE9BFB" w:rsidR="000A6023" w:rsidRPr="000A6023" w:rsidRDefault="000A6023" w:rsidP="000A6023">
      <w:pPr>
        <w:spacing w:after="200"/>
        <w:jc w:val="center"/>
        <w:rPr>
          <w:rFonts w:ascii="Arial" w:eastAsia="Arial" w:hAnsi="Arial" w:cs="Arial"/>
          <w:sz w:val="28"/>
          <w:szCs w:val="28"/>
        </w:rPr>
      </w:pPr>
      <w:r>
        <w:rPr>
          <w:rFonts w:ascii="Arial" w:eastAsia="Arial" w:hAnsi="Arial" w:cs="Arial"/>
          <w:color w:val="FFFFFF"/>
        </w:rPr>
        <w:br/>
      </w:r>
      <w:hyperlink r:id="rId7">
        <w:r>
          <w:rPr>
            <w:rFonts w:ascii="Arial" w:eastAsia="Arial" w:hAnsi="Arial" w:cs="Arial"/>
            <w:color w:val="1155CC"/>
            <w:sz w:val="28"/>
            <w:szCs w:val="28"/>
            <w:u w:val="single"/>
          </w:rPr>
          <w:t>Online version</w:t>
        </w:r>
      </w:hyperlink>
    </w:p>
    <w:p w14:paraId="5556937A" w14:textId="0384BCCE" w:rsidR="00045EDD" w:rsidRPr="00B536BD" w:rsidRDefault="00045EDD" w:rsidP="00045EDD">
      <w:pPr>
        <w:spacing w:before="100" w:beforeAutospacing="1" w:after="100" w:afterAutospacing="1" w:line="240" w:lineRule="auto"/>
        <w:jc w:val="both"/>
        <w:outlineLvl w:val="1"/>
        <w:rPr>
          <w:rFonts w:ascii="Calibri" w:eastAsia="Times New Roman" w:hAnsi="Calibri" w:cs="Calibri"/>
          <w:b/>
          <w:bCs/>
          <w:kern w:val="0"/>
          <w:lang w:val="ru-RU" w:eastAsia="en-GB"/>
          <w14:ligatures w14:val="none"/>
        </w:rPr>
      </w:pPr>
      <w:r w:rsidRPr="00045EDD">
        <w:rPr>
          <w:rFonts w:ascii="Calibri" w:eastAsia="Times New Roman" w:hAnsi="Calibri" w:cs="Calibri"/>
          <w:b/>
          <w:bCs/>
          <w:kern w:val="0"/>
          <w:lang w:eastAsia="en-GB"/>
          <w14:ligatures w14:val="none"/>
        </w:rPr>
        <w:t>US CFTC Withdraws Event Contracts Rule Proposal and Staff Sports Advisory</w:t>
      </w:r>
    </w:p>
    <w:p w14:paraId="75649E70" w14:textId="4D33C145" w:rsidR="00045EDD" w:rsidRPr="00045EDD" w:rsidRDefault="00045EDD" w:rsidP="00045EDD">
      <w:pPr>
        <w:spacing w:before="100" w:beforeAutospacing="1" w:after="100" w:afterAutospacing="1" w:line="240" w:lineRule="auto"/>
        <w:jc w:val="both"/>
        <w:rPr>
          <w:rFonts w:ascii="Calibri" w:eastAsia="Times New Roman" w:hAnsi="Calibri" w:cs="Calibri"/>
          <w:kern w:val="0"/>
          <w:lang w:eastAsia="en-GB"/>
          <w14:ligatures w14:val="none"/>
        </w:rPr>
      </w:pPr>
      <w:r w:rsidRPr="00045EDD">
        <w:rPr>
          <w:rFonts w:ascii="Calibri" w:eastAsia="Times New Roman" w:hAnsi="Calibri" w:cs="Calibri"/>
          <w:kern w:val="0"/>
          <w:lang w:eastAsia="en-GB"/>
          <w14:ligatures w14:val="none"/>
        </w:rPr>
        <w:t xml:space="preserve">On 4 February 2026, the US CFTC formally </w:t>
      </w:r>
      <w:hyperlink r:id="rId8" w:history="1">
        <w:r w:rsidRPr="00B536BD">
          <w:rPr>
            <w:rStyle w:val="Hyperlink"/>
            <w:rFonts w:ascii="Calibri" w:eastAsia="Times New Roman" w:hAnsi="Calibri" w:cs="Calibri"/>
            <w:color w:val="E97132" w:themeColor="accent2"/>
            <w:kern w:val="0"/>
            <w:lang w:eastAsia="en-GB"/>
            <w14:ligatures w14:val="none"/>
          </w:rPr>
          <w:t>withdrew the notice of proposed rulemaking titled "Event Contracts"</w:t>
        </w:r>
      </w:hyperlink>
      <w:r w:rsidRPr="00045EDD">
        <w:rPr>
          <w:rFonts w:ascii="Calibri" w:eastAsia="Times New Roman" w:hAnsi="Calibri" w:cs="Calibri"/>
          <w:kern w:val="0"/>
          <w:lang w:eastAsia="en-GB"/>
          <w14:ligatures w14:val="none"/>
        </w:rPr>
        <w:t xml:space="preserve"> that had been published on 10 June 2024 vide </w:t>
      </w:r>
      <w:hyperlink r:id="rId9" w:history="1">
        <w:r w:rsidRPr="00B536BD">
          <w:rPr>
            <w:rStyle w:val="Hyperlink"/>
            <w:rFonts w:ascii="Calibri" w:eastAsia="Times New Roman" w:hAnsi="Calibri" w:cs="Calibri"/>
            <w:color w:val="E97132" w:themeColor="accent2"/>
            <w:kern w:val="0"/>
            <w:lang w:eastAsia="en-GB"/>
            <w14:ligatures w14:val="none"/>
          </w:rPr>
          <w:t>CFTC Staff Letter 26-04</w:t>
        </w:r>
      </w:hyperlink>
      <w:r w:rsidRPr="00045EDD">
        <w:rPr>
          <w:rFonts w:ascii="Calibri" w:eastAsia="Times New Roman" w:hAnsi="Calibri" w:cs="Calibri"/>
          <w:kern w:val="0"/>
          <w:lang w:eastAsia="en-GB"/>
          <w14:ligatures w14:val="none"/>
        </w:rPr>
        <w:t xml:space="preserve">. The US CFTC confirmed it does not intend to issue final rules with respect to the proposal and also withdrew the </w:t>
      </w:r>
      <w:hyperlink r:id="rId10" w:history="1">
        <w:r w:rsidRPr="00B536BD">
          <w:rPr>
            <w:rStyle w:val="Hyperlink"/>
            <w:rFonts w:ascii="Calibri" w:eastAsia="Times New Roman" w:hAnsi="Calibri" w:cs="Calibri"/>
            <w:color w:val="E97132" w:themeColor="accent2"/>
            <w:kern w:val="0"/>
            <w:lang w:eastAsia="en-GB"/>
            <w14:ligatures w14:val="none"/>
          </w:rPr>
          <w:t>Staff Advisory on Certain Contract Markets (Staff Letter 25-36)</w:t>
        </w:r>
      </w:hyperlink>
      <w:r w:rsidRPr="00045EDD">
        <w:rPr>
          <w:rFonts w:ascii="Calibri" w:eastAsia="Times New Roman" w:hAnsi="Calibri" w:cs="Calibri"/>
          <w:kern w:val="0"/>
          <w:lang w:eastAsia="en-GB"/>
          <w14:ligatures w14:val="none"/>
        </w:rPr>
        <w:t xml:space="preserve"> issued on 30 September 2025.</w:t>
      </w:r>
    </w:p>
    <w:p w14:paraId="301F16D7" w14:textId="48C79FA4" w:rsidR="00045EDD" w:rsidRPr="00045EDD" w:rsidRDefault="00045EDD" w:rsidP="00554A92">
      <w:pPr>
        <w:pStyle w:val="NormalWeb"/>
        <w:numPr>
          <w:ilvl w:val="0"/>
          <w:numId w:val="10"/>
        </w:numPr>
        <w:ind w:left="1418"/>
        <w:jc w:val="both"/>
        <w:rPr>
          <w:rFonts w:ascii="Calibri" w:hAnsi="Calibri" w:cs="Calibri"/>
        </w:rPr>
      </w:pPr>
      <w:r w:rsidRPr="00045EDD">
        <w:rPr>
          <w:rFonts w:ascii="Calibri" w:hAnsi="Calibri" w:cs="Calibri"/>
        </w:rPr>
        <w:t>Chairman Selig cited the need to reconsider the framework due to state regulatory actions and ongoing litigation regarding the CFTC’s exclusive jurisdiction over derivatives listed on designated contract markets.</w:t>
      </w:r>
    </w:p>
    <w:p w14:paraId="33BBFC04" w14:textId="0A3FF6D8" w:rsidR="00045EDD" w:rsidRPr="00045EDD" w:rsidRDefault="00045EDD" w:rsidP="00554A92">
      <w:pPr>
        <w:pStyle w:val="NormalWeb"/>
        <w:numPr>
          <w:ilvl w:val="0"/>
          <w:numId w:val="10"/>
        </w:numPr>
        <w:jc w:val="both"/>
        <w:rPr>
          <w:rFonts w:ascii="Calibri" w:hAnsi="Calibri" w:cs="Calibri"/>
        </w:rPr>
      </w:pPr>
      <w:r w:rsidRPr="00045EDD">
        <w:rPr>
          <w:rFonts w:ascii="Calibri" w:hAnsi="Calibri" w:cs="Calibri"/>
        </w:rPr>
        <w:t>The 2024 proposal was criticized as a "departure into merit regulation"; the new direction aims for a rulemaking process grounded strictly in the Commodity Exchange Act to eliminate confusion caused by previous staff advisories.</w:t>
      </w:r>
    </w:p>
    <w:p w14:paraId="4DBFEAFC" w14:textId="52ED8526" w:rsidR="00045EDD" w:rsidRPr="00045EDD" w:rsidRDefault="00045EDD" w:rsidP="00554A92">
      <w:pPr>
        <w:pStyle w:val="NormalWeb"/>
        <w:numPr>
          <w:ilvl w:val="0"/>
          <w:numId w:val="10"/>
        </w:numPr>
        <w:jc w:val="both"/>
        <w:rPr>
          <w:rFonts w:ascii="Calibri" w:hAnsi="Calibri" w:cs="Calibri"/>
        </w:rPr>
      </w:pPr>
      <w:r w:rsidRPr="00045EDD">
        <w:rPr>
          <w:rFonts w:ascii="Calibri" w:hAnsi="Calibri" w:cs="Calibri"/>
        </w:rPr>
        <w:t>This action effectively removes proposed bans on political and sports-related event contracts initiated by the prior administration.</w:t>
      </w:r>
    </w:p>
    <w:p w14:paraId="0B3AE544" w14:textId="2E39B69E" w:rsidR="00B536BD" w:rsidRPr="00B536BD" w:rsidRDefault="00045EDD" w:rsidP="00B536BD">
      <w:pPr>
        <w:pStyle w:val="NormalWeb"/>
        <w:numPr>
          <w:ilvl w:val="0"/>
          <w:numId w:val="10"/>
        </w:numPr>
        <w:jc w:val="both"/>
        <w:rPr>
          <w:rFonts w:ascii="Calibri" w:hAnsi="Calibri" w:cs="Calibri"/>
        </w:rPr>
      </w:pPr>
      <w:r w:rsidRPr="00045EDD">
        <w:rPr>
          <w:rFonts w:ascii="Calibri" w:hAnsi="Calibri" w:cs="Calibri"/>
        </w:rPr>
        <w:t>The US CFTC is transitioning from categorical bans toward establishing comprehensive, principles-based standards for the event contract market.</w:t>
      </w:r>
    </w:p>
    <w:p w14:paraId="2DA86FB0" w14:textId="2C1B7B47" w:rsidR="00B536BD" w:rsidRPr="005F4623" w:rsidRDefault="00B536BD" w:rsidP="005F4623">
      <w:pPr>
        <w:pStyle w:val="p2"/>
        <w:spacing w:after="0"/>
        <w:textAlignment w:val="baseline"/>
        <w:rPr>
          <w:rFonts w:ascii="Calibri" w:eastAsiaTheme="majorEastAsia" w:hAnsi="Calibri" w:cs="Calibri"/>
          <w:color w:val="E97132" w:themeColor="accent2"/>
          <w:sz w:val="22"/>
          <w:szCs w:val="22"/>
          <w:bdr w:val="none" w:sz="0" w:space="0" w:color="auto" w:frame="1"/>
          <w:lang w:val="en-US"/>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r w:rsidR="005F4623" w:rsidRPr="005F4623">
        <w:rPr>
          <w:rFonts w:ascii="Calibri" w:eastAsiaTheme="majorEastAsia" w:hAnsi="Calibri" w:cs="Calibri"/>
          <w:color w:val="E97132" w:themeColor="accent2"/>
          <w:sz w:val="22"/>
          <w:szCs w:val="22"/>
          <w:bdr w:val="none" w:sz="0" w:space="0" w:color="auto" w:frame="1"/>
          <w:lang w:val="en-US"/>
        </w:rPr>
        <w:fldChar w:fldCharType="begin"/>
      </w:r>
      <w:r w:rsidR="005F4623" w:rsidRPr="005F4623">
        <w:rPr>
          <w:rFonts w:ascii="Calibri" w:eastAsiaTheme="majorEastAsia" w:hAnsi="Calibri" w:cs="Calibri"/>
          <w:color w:val="E97132" w:themeColor="accent2"/>
          <w:sz w:val="22"/>
          <w:szCs w:val="22"/>
          <w:bdr w:val="none" w:sz="0" w:space="0" w:color="auto" w:frame="1"/>
          <w:lang w:val="en-US"/>
        </w:rPr>
        <w:instrText>HYPERLINK "https://charltonsquantum.com/us-cftc-withdraws-event-contracts-rule-proposal-and-staff-sports-event-contracts-advisory/"</w:instrText>
      </w:r>
      <w:r w:rsidR="005F4623" w:rsidRPr="005F4623">
        <w:rPr>
          <w:rFonts w:ascii="Calibri" w:eastAsiaTheme="majorEastAsia" w:hAnsi="Calibri" w:cs="Calibri"/>
          <w:color w:val="E97132" w:themeColor="accent2"/>
          <w:sz w:val="22"/>
          <w:szCs w:val="22"/>
          <w:bdr w:val="none" w:sz="0" w:space="0" w:color="auto" w:frame="1"/>
          <w:lang w:val="en-US"/>
        </w:rPr>
      </w:r>
      <w:r w:rsidR="005F4623" w:rsidRPr="005F4623">
        <w:rPr>
          <w:rFonts w:ascii="Calibri" w:eastAsiaTheme="majorEastAsia" w:hAnsi="Calibri" w:cs="Calibri"/>
          <w:color w:val="E97132" w:themeColor="accent2"/>
          <w:sz w:val="22"/>
          <w:szCs w:val="22"/>
          <w:bdr w:val="none" w:sz="0" w:space="0" w:color="auto" w:frame="1"/>
          <w:lang w:val="en-US"/>
        </w:rPr>
        <w:fldChar w:fldCharType="separate"/>
      </w:r>
      <w:r w:rsidR="005F4623" w:rsidRPr="005F4623">
        <w:rPr>
          <w:rStyle w:val="Hyperlink"/>
          <w:rFonts w:ascii="Calibri" w:eastAsiaTheme="majorEastAsia" w:hAnsi="Calibri" w:cs="Calibri"/>
          <w:color w:val="E97132" w:themeColor="accent2"/>
          <w:sz w:val="22"/>
          <w:szCs w:val="22"/>
          <w:bdr w:val="none" w:sz="0" w:space="0" w:color="auto" w:frame="1"/>
          <w:lang w:val="en-US"/>
        </w:rPr>
        <w:t>https://charltonsquantum.com/us-cftc-withdraws-event-contracts-rule-proposal-and-staff-sports-event-contracts-advisory/</w:t>
      </w:r>
      <w:r w:rsidR="005F4623" w:rsidRPr="005F4623">
        <w:rPr>
          <w:rFonts w:ascii="Calibri" w:eastAsiaTheme="majorEastAsia" w:hAnsi="Calibri" w:cs="Calibri"/>
          <w:color w:val="E97132" w:themeColor="accent2"/>
          <w:sz w:val="22"/>
          <w:szCs w:val="22"/>
          <w:bdr w:val="none" w:sz="0" w:space="0" w:color="auto" w:frame="1"/>
          <w:lang w:val="en-US"/>
        </w:rPr>
        <w:fldChar w:fldCharType="end"/>
      </w:r>
      <w:r w:rsidRPr="00C40E40">
        <w:rPr>
          <w:rFonts w:ascii="Calibri" w:eastAsiaTheme="majorEastAsia" w:hAnsi="Calibri" w:cs="Calibri"/>
          <w:sz w:val="22"/>
          <w:szCs w:val="22"/>
          <w:bdr w:val="none" w:sz="0" w:space="0" w:color="auto" w:frame="1"/>
        </w:rPr>
        <w:t>)</w:t>
      </w:r>
    </w:p>
    <w:p w14:paraId="6A763EDD" w14:textId="77777777" w:rsidR="00045EDD" w:rsidRPr="00045EDD" w:rsidRDefault="00045EDD" w:rsidP="00045EDD">
      <w:pPr>
        <w:spacing w:before="100" w:beforeAutospacing="1" w:after="100" w:afterAutospacing="1" w:line="240" w:lineRule="auto"/>
        <w:jc w:val="both"/>
        <w:outlineLvl w:val="1"/>
        <w:rPr>
          <w:rFonts w:ascii="Calibri" w:eastAsia="Times New Roman" w:hAnsi="Calibri" w:cs="Calibri"/>
          <w:b/>
          <w:bCs/>
          <w:kern w:val="0"/>
          <w:lang w:eastAsia="en-GB"/>
          <w14:ligatures w14:val="none"/>
        </w:rPr>
      </w:pPr>
    </w:p>
    <w:p w14:paraId="46DA6D84" w14:textId="77777777" w:rsidR="004C2176" w:rsidRPr="00045EDD" w:rsidRDefault="004C2176" w:rsidP="00045EDD">
      <w:pPr>
        <w:spacing w:before="100" w:beforeAutospacing="1" w:after="100" w:afterAutospacing="1" w:line="240" w:lineRule="auto"/>
        <w:jc w:val="both"/>
        <w:outlineLvl w:val="1"/>
        <w:rPr>
          <w:rFonts w:ascii="Calibri" w:eastAsia="Times New Roman" w:hAnsi="Calibri" w:cs="Calibri"/>
          <w:b/>
          <w:bCs/>
          <w:kern w:val="0"/>
          <w:lang w:eastAsia="en-GB"/>
          <w14:ligatures w14:val="none"/>
        </w:rPr>
      </w:pPr>
      <w:r w:rsidRPr="00045EDD">
        <w:rPr>
          <w:rFonts w:ascii="Calibri" w:eastAsia="Times New Roman" w:hAnsi="Calibri" w:cs="Calibri"/>
          <w:b/>
          <w:bCs/>
          <w:kern w:val="0"/>
          <w:lang w:eastAsia="en-GB"/>
          <w14:ligatures w14:val="none"/>
        </w:rPr>
        <w:t>US CFTC and US SEC Hold Joint Harmonisation Event on Crypto Regulation</w:t>
      </w:r>
    </w:p>
    <w:p w14:paraId="44A842F6" w14:textId="77777777" w:rsidR="004C2176" w:rsidRPr="00045EDD" w:rsidRDefault="004C2176" w:rsidP="00045EDD">
      <w:pPr>
        <w:spacing w:before="100" w:beforeAutospacing="1" w:after="100" w:afterAutospacing="1" w:line="240" w:lineRule="auto"/>
        <w:jc w:val="both"/>
        <w:rPr>
          <w:rFonts w:ascii="Calibri" w:eastAsia="Times New Roman" w:hAnsi="Calibri" w:cs="Calibri"/>
          <w:kern w:val="0"/>
          <w:lang w:eastAsia="en-GB"/>
          <w14:ligatures w14:val="none"/>
        </w:rPr>
      </w:pPr>
      <w:r w:rsidRPr="00045EDD">
        <w:rPr>
          <w:rFonts w:ascii="Calibri" w:eastAsia="Times New Roman" w:hAnsi="Calibri" w:cs="Calibri"/>
          <w:kern w:val="0"/>
          <w:lang w:eastAsia="en-GB"/>
          <w14:ligatures w14:val="none"/>
        </w:rPr>
        <w:t>On 26 January 2026, the United States Commodity Futures Trading Commission (US CFTC) and the United States Securities and Exchange Commission (US SEC) announced a joint public event titled "</w:t>
      </w:r>
      <w:hyperlink r:id="rId11" w:history="1">
        <w:r w:rsidRPr="00B536BD">
          <w:rPr>
            <w:rStyle w:val="Hyperlink"/>
            <w:rFonts w:ascii="Calibri" w:eastAsia="Times New Roman" w:hAnsi="Calibri" w:cs="Calibri"/>
            <w:color w:val="E97132" w:themeColor="accent2"/>
            <w:kern w:val="0"/>
            <w:lang w:eastAsia="en-GB"/>
            <w14:ligatures w14:val="none"/>
          </w:rPr>
          <w:t>SEC – CFTC Harmonisation: U.S. Financial Leadership in the Crypto Era</w:t>
        </w:r>
      </w:hyperlink>
      <w:r w:rsidRPr="00045EDD">
        <w:rPr>
          <w:rFonts w:ascii="Calibri" w:eastAsia="Times New Roman" w:hAnsi="Calibri" w:cs="Calibri"/>
          <w:kern w:val="0"/>
          <w:lang w:eastAsia="en-GB"/>
          <w14:ligatures w14:val="none"/>
        </w:rPr>
        <w:t>." The event was rescheduled from 27 January to 29 January 2026 and held at US CFTC headquarters in Washington, D.C.</w:t>
      </w:r>
    </w:p>
    <w:p w14:paraId="503E3860" w14:textId="6D59402B" w:rsidR="004C2176" w:rsidRPr="00045EDD" w:rsidRDefault="004C2176" w:rsidP="00554A92">
      <w:pPr>
        <w:pStyle w:val="NormalWeb"/>
        <w:numPr>
          <w:ilvl w:val="0"/>
          <w:numId w:val="11"/>
        </w:numPr>
        <w:jc w:val="both"/>
        <w:rPr>
          <w:rFonts w:ascii="Calibri" w:hAnsi="Calibri" w:cs="Calibri"/>
        </w:rPr>
      </w:pPr>
      <w:r w:rsidRPr="00045EDD">
        <w:rPr>
          <w:rFonts w:ascii="Calibri" w:hAnsi="Calibri" w:cs="Calibri"/>
          <w:b/>
          <w:bCs/>
        </w:rPr>
        <w:t xml:space="preserve">US </w:t>
      </w:r>
      <w:r w:rsidRPr="00045EDD">
        <w:rPr>
          <w:rFonts w:ascii="Calibri" w:hAnsi="Calibri" w:cs="Calibri"/>
        </w:rPr>
        <w:t>SEC Chairman Atkins announced that "Project Crypto" has transitioned into a collaborative joint initiative between both agencies to streamline digital asset oversight.</w:t>
      </w:r>
    </w:p>
    <w:p w14:paraId="7E059F33" w14:textId="31039201" w:rsidR="004C2176" w:rsidRPr="00045EDD" w:rsidRDefault="004C2176" w:rsidP="00554A92">
      <w:pPr>
        <w:pStyle w:val="NormalWeb"/>
        <w:numPr>
          <w:ilvl w:val="0"/>
          <w:numId w:val="11"/>
        </w:numPr>
        <w:jc w:val="both"/>
        <w:rPr>
          <w:rFonts w:ascii="Calibri" w:hAnsi="Calibri" w:cs="Calibri"/>
        </w:rPr>
      </w:pPr>
      <w:r w:rsidRPr="00045EDD">
        <w:rPr>
          <w:rFonts w:ascii="Calibri" w:hAnsi="Calibri" w:cs="Calibri"/>
        </w:rPr>
        <w:t>Join Harmonisation is built upon three primary objectives: achieving regulatory clarity, enhancing inter-agency coordination, and supporting permissionless innovation.</w:t>
      </w:r>
    </w:p>
    <w:p w14:paraId="38B9700C" w14:textId="7104F25F" w:rsidR="004C2176" w:rsidRPr="00045EDD" w:rsidRDefault="004C2176" w:rsidP="00554A92">
      <w:pPr>
        <w:pStyle w:val="NormalWeb"/>
        <w:numPr>
          <w:ilvl w:val="0"/>
          <w:numId w:val="11"/>
        </w:numPr>
        <w:jc w:val="both"/>
        <w:rPr>
          <w:rFonts w:ascii="Calibri" w:hAnsi="Calibri" w:cs="Calibri"/>
        </w:rPr>
      </w:pPr>
      <w:r w:rsidRPr="00045EDD">
        <w:rPr>
          <w:rFonts w:ascii="Calibri" w:hAnsi="Calibri" w:cs="Calibri"/>
        </w:rPr>
        <w:lastRenderedPageBreak/>
        <w:t>The harmonisation establishes a formal regulatory framework designed to eliminate jurisdictional fragmentation and provide a cohesive oversight structure for the digital asset sector.</w:t>
      </w:r>
    </w:p>
    <w:p w14:paraId="3D0C5440" w14:textId="65D327B0" w:rsidR="004C2176" w:rsidRPr="00045EDD" w:rsidRDefault="004C2176" w:rsidP="00554A92">
      <w:pPr>
        <w:pStyle w:val="NormalWeb"/>
        <w:numPr>
          <w:ilvl w:val="0"/>
          <w:numId w:val="11"/>
        </w:numPr>
        <w:jc w:val="both"/>
        <w:rPr>
          <w:rFonts w:ascii="Calibri" w:hAnsi="Calibri" w:cs="Calibri"/>
        </w:rPr>
      </w:pPr>
      <w:r w:rsidRPr="00045EDD">
        <w:rPr>
          <w:rFonts w:ascii="Calibri" w:hAnsi="Calibri" w:cs="Calibri"/>
        </w:rPr>
        <w:t>This partnership marks a significant departure from previous enforcement-heavy approaches, focusing instead on providing a clear regulatory pathway for intermediaries, infrastructure providers, and multi-product platforms.</w:t>
      </w:r>
    </w:p>
    <w:p w14:paraId="7D601A39" w14:textId="3674EEF4" w:rsidR="00B536BD" w:rsidRPr="00B536BD" w:rsidRDefault="00B536BD" w:rsidP="00B536BD">
      <w:pPr>
        <w:pStyle w:val="p2"/>
        <w:spacing w:before="0" w:beforeAutospacing="0" w:after="0" w:afterAutospacing="0"/>
        <w:textAlignment w:val="baseline"/>
        <w:rPr>
          <w:rFonts w:ascii="Calibri" w:eastAsiaTheme="majorEastAsia" w:hAnsi="Calibri" w:cs="Calibri"/>
          <w:sz w:val="22"/>
          <w:szCs w:val="22"/>
          <w:bdr w:val="none" w:sz="0" w:space="0" w:color="auto" w:frame="1"/>
          <w:lang w:val="en-US"/>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r w:rsidR="005F4623" w:rsidRPr="005F4623">
        <w:rPr>
          <w:rStyle w:val="s1"/>
          <w:rFonts w:ascii="Calibri" w:eastAsiaTheme="majorEastAsia" w:hAnsi="Calibri" w:cs="Calibri"/>
          <w:color w:val="E97132" w:themeColor="accent2"/>
          <w:sz w:val="22"/>
          <w:szCs w:val="22"/>
          <w:bdr w:val="none" w:sz="0" w:space="0" w:color="auto" w:frame="1"/>
        </w:rPr>
        <w:fldChar w:fldCharType="begin"/>
      </w:r>
      <w:r w:rsidR="005F4623" w:rsidRPr="005F4623">
        <w:rPr>
          <w:rStyle w:val="s1"/>
          <w:rFonts w:ascii="Calibri" w:eastAsiaTheme="majorEastAsia" w:hAnsi="Calibri" w:cs="Calibri"/>
          <w:color w:val="E97132" w:themeColor="accent2"/>
          <w:sz w:val="22"/>
          <w:szCs w:val="22"/>
          <w:bdr w:val="none" w:sz="0" w:space="0" w:color="auto" w:frame="1"/>
        </w:rPr>
        <w:instrText>HYPERLINK "https://charltonsquantum.com/us-cftc-and-us-sec-hold-joint-harmonisation-event-on-crypto-regulation/"</w:instrText>
      </w:r>
      <w:r w:rsidR="005F4623" w:rsidRPr="005F4623">
        <w:rPr>
          <w:rStyle w:val="s1"/>
          <w:rFonts w:ascii="Calibri" w:eastAsiaTheme="majorEastAsia" w:hAnsi="Calibri" w:cs="Calibri"/>
          <w:color w:val="E97132" w:themeColor="accent2"/>
          <w:sz w:val="22"/>
          <w:szCs w:val="22"/>
          <w:bdr w:val="none" w:sz="0" w:space="0" w:color="auto" w:frame="1"/>
        </w:rPr>
      </w:r>
      <w:r w:rsidR="005F4623" w:rsidRPr="005F4623">
        <w:rPr>
          <w:rStyle w:val="s1"/>
          <w:rFonts w:ascii="Calibri" w:eastAsiaTheme="majorEastAsia" w:hAnsi="Calibri" w:cs="Calibri"/>
          <w:color w:val="E97132" w:themeColor="accent2"/>
          <w:sz w:val="22"/>
          <w:szCs w:val="22"/>
          <w:bdr w:val="none" w:sz="0" w:space="0" w:color="auto" w:frame="1"/>
        </w:rPr>
        <w:fldChar w:fldCharType="separate"/>
      </w:r>
      <w:r w:rsidR="005F4623" w:rsidRPr="005F4623">
        <w:rPr>
          <w:rStyle w:val="Hyperlink"/>
          <w:rFonts w:ascii="Calibri" w:eastAsiaTheme="majorEastAsia" w:hAnsi="Calibri" w:cs="Calibri"/>
          <w:color w:val="E97132" w:themeColor="accent2"/>
          <w:sz w:val="22"/>
          <w:szCs w:val="22"/>
          <w:bdr w:val="none" w:sz="0" w:space="0" w:color="auto" w:frame="1"/>
        </w:rPr>
        <w:t>https://charltonsquantum.com/us-cftc-and-us-sec-hold-joint-harmonisation-event-on-crypto-regulation/</w:t>
      </w:r>
      <w:r w:rsidR="005F4623" w:rsidRPr="005F4623">
        <w:rPr>
          <w:rStyle w:val="s1"/>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7BF574B2" w14:textId="77777777" w:rsidR="00B536BD" w:rsidRPr="00B536BD" w:rsidRDefault="00B536BD" w:rsidP="00B536BD">
      <w:pPr>
        <w:pStyle w:val="p2"/>
        <w:spacing w:before="0" w:beforeAutospacing="0" w:after="0" w:afterAutospacing="0"/>
        <w:textAlignment w:val="baseline"/>
        <w:rPr>
          <w:rFonts w:ascii="Calibri" w:hAnsi="Calibri" w:cs="Calibri"/>
          <w:sz w:val="22"/>
          <w:szCs w:val="22"/>
          <w:lang w:val="en-US"/>
        </w:rPr>
      </w:pPr>
    </w:p>
    <w:p w14:paraId="74E86E04" w14:textId="68770D89" w:rsidR="00045EDD" w:rsidRPr="00045EDD" w:rsidRDefault="00045EDD" w:rsidP="00045EDD">
      <w:pPr>
        <w:spacing w:before="100" w:beforeAutospacing="1" w:after="100" w:afterAutospacing="1" w:line="240" w:lineRule="auto"/>
        <w:jc w:val="both"/>
        <w:outlineLvl w:val="1"/>
        <w:rPr>
          <w:rFonts w:ascii="Calibri" w:eastAsia="Times New Roman" w:hAnsi="Calibri" w:cs="Calibri"/>
          <w:b/>
          <w:bCs/>
          <w:kern w:val="0"/>
          <w:lang w:eastAsia="en-GB"/>
          <w14:ligatures w14:val="none"/>
        </w:rPr>
      </w:pPr>
      <w:r w:rsidRPr="00045EDD">
        <w:rPr>
          <w:rFonts w:ascii="Calibri" w:eastAsia="Times New Roman" w:hAnsi="Calibri" w:cs="Calibri"/>
          <w:b/>
          <w:bCs/>
          <w:kern w:val="0"/>
          <w:lang w:eastAsia="en-GB"/>
          <w14:ligatures w14:val="none"/>
        </w:rPr>
        <w:t>US CFTC Launches Innovation Advisory Committee and Appoints 35 Member Panel</w:t>
      </w:r>
    </w:p>
    <w:p w14:paraId="13D1853E" w14:textId="77777777" w:rsidR="00045EDD" w:rsidRPr="00045EDD" w:rsidRDefault="00045EDD" w:rsidP="00045EDD">
      <w:pPr>
        <w:spacing w:before="100" w:beforeAutospacing="1" w:after="100" w:afterAutospacing="1" w:line="240" w:lineRule="auto"/>
        <w:jc w:val="both"/>
        <w:rPr>
          <w:rFonts w:ascii="Calibri" w:eastAsia="Times New Roman" w:hAnsi="Calibri" w:cs="Calibri"/>
          <w:kern w:val="0"/>
          <w:lang w:eastAsia="en-GB"/>
          <w14:ligatures w14:val="none"/>
        </w:rPr>
      </w:pPr>
      <w:r w:rsidRPr="00045EDD">
        <w:rPr>
          <w:rFonts w:ascii="Calibri" w:eastAsia="Times New Roman" w:hAnsi="Calibri" w:cs="Calibri"/>
          <w:kern w:val="0"/>
          <w:lang w:eastAsia="en-GB"/>
          <w14:ligatures w14:val="none"/>
        </w:rPr>
        <w:t xml:space="preserve">On 12 January 2026, United States Commodity Futures Trading Commission  </w:t>
      </w:r>
      <w:r w:rsidRPr="00045EDD">
        <w:rPr>
          <w:rFonts w:ascii="Calibri" w:hAnsi="Calibri" w:cs="Calibri"/>
          <w:color w:val="4A4A4A"/>
          <w:shd w:val="clear" w:color="auto" w:fill="FFFFFF"/>
        </w:rPr>
        <w:t>Chairman Michael S. Selig</w:t>
      </w:r>
      <w:r w:rsidRPr="00045EDD">
        <w:rPr>
          <w:rFonts w:ascii="Calibri" w:eastAsia="Times New Roman" w:hAnsi="Calibri" w:cs="Calibri"/>
          <w:kern w:val="0"/>
          <w:lang w:eastAsia="en-GB"/>
          <w14:ligatures w14:val="none"/>
        </w:rPr>
        <w:t xml:space="preserve"> </w:t>
      </w:r>
      <w:hyperlink r:id="rId12" w:history="1">
        <w:r w:rsidRPr="00B536BD">
          <w:rPr>
            <w:rStyle w:val="Hyperlink"/>
            <w:rFonts w:ascii="Calibri" w:eastAsia="Times New Roman" w:hAnsi="Calibri" w:cs="Calibri"/>
            <w:color w:val="E97132" w:themeColor="accent2"/>
            <w:kern w:val="0"/>
            <w:lang w:eastAsia="en-GB"/>
            <w14:ligatures w14:val="none"/>
          </w:rPr>
          <w:t>officially launched</w:t>
        </w:r>
      </w:hyperlink>
      <w:r w:rsidRPr="00045EDD">
        <w:rPr>
          <w:rFonts w:ascii="Calibri" w:eastAsia="Times New Roman" w:hAnsi="Calibri" w:cs="Calibri"/>
          <w:kern w:val="0"/>
          <w:lang w:eastAsia="en-GB"/>
          <w14:ligatures w14:val="none"/>
        </w:rPr>
        <w:t xml:space="preserve"> the </w:t>
      </w:r>
      <w:hyperlink r:id="rId13" w:history="1">
        <w:r w:rsidRPr="00B536BD">
          <w:rPr>
            <w:rStyle w:val="Hyperlink"/>
            <w:rFonts w:ascii="Calibri" w:eastAsia="Times New Roman" w:hAnsi="Calibri" w:cs="Calibri"/>
            <w:color w:val="E97132" w:themeColor="accent2"/>
            <w:kern w:val="0"/>
            <w:lang w:eastAsia="en-GB"/>
            <w14:ligatures w14:val="none"/>
          </w:rPr>
          <w:t>Innovation Advisory Committee</w:t>
        </w:r>
      </w:hyperlink>
      <w:r w:rsidRPr="00045EDD">
        <w:rPr>
          <w:rFonts w:ascii="Calibri" w:eastAsia="Times New Roman" w:hAnsi="Calibri" w:cs="Calibri"/>
          <w:kern w:val="0"/>
          <w:lang w:eastAsia="en-GB"/>
          <w14:ligatures w14:val="none"/>
        </w:rPr>
        <w:t xml:space="preserve"> (IAC), renamed from the former Technology Advisory Committee and seeking nominations for additional IAC membership. The body is structured to include a balance of viewpoints from the financial industry, regulatory bodies, financial technology providers, public interest groups, academia and market infrastructure firms. </w:t>
      </w:r>
    </w:p>
    <w:p w14:paraId="67F163AD" w14:textId="77777777" w:rsidR="00045EDD" w:rsidRPr="00045EDD" w:rsidRDefault="00045EDD" w:rsidP="00045EDD">
      <w:pPr>
        <w:pStyle w:val="NormalWeb"/>
        <w:numPr>
          <w:ilvl w:val="0"/>
          <w:numId w:val="1"/>
        </w:numPr>
        <w:jc w:val="both"/>
        <w:rPr>
          <w:rFonts w:ascii="Calibri" w:hAnsi="Calibri" w:cs="Calibri"/>
          <w:color w:val="000000"/>
        </w:rPr>
      </w:pPr>
      <w:r w:rsidRPr="00045EDD">
        <w:rPr>
          <w:rFonts w:ascii="Calibri" w:hAnsi="Calibri" w:cs="Calibri"/>
          <w:color w:val="000000"/>
        </w:rPr>
        <w:t>The 35-member panel, finalized on February 12, 2026, integrates a broad spectrum of stakeholders including traditional market operators (CME Group, Nasdaq), crypto industry leaders (Coinbase, Ripple, Uniswap, Gemini), and prediction market executives (</w:t>
      </w:r>
      <w:proofErr w:type="spellStart"/>
      <w:r w:rsidRPr="00045EDD">
        <w:rPr>
          <w:rFonts w:ascii="Calibri" w:hAnsi="Calibri" w:cs="Calibri"/>
          <w:color w:val="000000"/>
        </w:rPr>
        <w:t>Polymarket</w:t>
      </w:r>
      <w:proofErr w:type="spellEnd"/>
      <w:r w:rsidRPr="00045EDD">
        <w:rPr>
          <w:rFonts w:ascii="Calibri" w:hAnsi="Calibri" w:cs="Calibri"/>
          <w:color w:val="000000"/>
        </w:rPr>
        <w:t>, Kalshi).</w:t>
      </w:r>
    </w:p>
    <w:p w14:paraId="3289E0FB" w14:textId="77777777" w:rsidR="00045EDD" w:rsidRPr="00045EDD" w:rsidRDefault="00045EDD" w:rsidP="00045EDD">
      <w:pPr>
        <w:pStyle w:val="NormalWeb"/>
        <w:numPr>
          <w:ilvl w:val="0"/>
          <w:numId w:val="1"/>
        </w:numPr>
        <w:jc w:val="both"/>
        <w:rPr>
          <w:rFonts w:ascii="Calibri" w:hAnsi="Calibri" w:cs="Calibri"/>
          <w:color w:val="000000"/>
        </w:rPr>
      </w:pPr>
      <w:r w:rsidRPr="00045EDD">
        <w:rPr>
          <w:rFonts w:ascii="Calibri" w:hAnsi="Calibri" w:cs="Calibri"/>
          <w:color w:val="000000"/>
        </w:rPr>
        <w:t>The Innovation Advisory Committee is tasked with advising on artificial intelligence, blockchain technologies, novel derivatives products, and the development of adaptive regulatory frameworks.</w:t>
      </w:r>
    </w:p>
    <w:p w14:paraId="6E88BDB2" w14:textId="77777777" w:rsidR="00045EDD" w:rsidRPr="00045EDD" w:rsidRDefault="00045EDD" w:rsidP="00045EDD">
      <w:pPr>
        <w:pStyle w:val="NormalWeb"/>
        <w:numPr>
          <w:ilvl w:val="0"/>
          <w:numId w:val="1"/>
        </w:numPr>
        <w:jc w:val="both"/>
        <w:rPr>
          <w:rFonts w:ascii="Calibri" w:hAnsi="Calibri" w:cs="Calibri"/>
          <w:color w:val="000000"/>
        </w:rPr>
      </w:pPr>
      <w:r w:rsidRPr="00045EDD">
        <w:rPr>
          <w:rFonts w:ascii="Calibri" w:hAnsi="Calibri" w:cs="Calibri"/>
          <w:color w:val="000000"/>
        </w:rPr>
        <w:t xml:space="preserve">The IAC represents the CFTC’s most extensive industry engagement initiative to date, </w:t>
      </w:r>
      <w:proofErr w:type="spellStart"/>
      <w:r w:rsidRPr="00045EDD">
        <w:rPr>
          <w:rFonts w:ascii="Calibri" w:hAnsi="Calibri" w:cs="Calibri"/>
          <w:color w:val="000000"/>
        </w:rPr>
        <w:t>signaling</w:t>
      </w:r>
      <w:proofErr w:type="spellEnd"/>
      <w:r w:rsidRPr="00045EDD">
        <w:rPr>
          <w:rFonts w:ascii="Calibri" w:hAnsi="Calibri" w:cs="Calibri"/>
          <w:color w:val="000000"/>
        </w:rPr>
        <w:t xml:space="preserve"> a shift toward collaborative policymaking over unilateral enforcement.</w:t>
      </w:r>
    </w:p>
    <w:p w14:paraId="2078AF86" w14:textId="5FEC51FA" w:rsidR="00830768" w:rsidRPr="00B536BD" w:rsidRDefault="00045EDD" w:rsidP="00045EDD">
      <w:pPr>
        <w:pStyle w:val="NormalWeb"/>
        <w:numPr>
          <w:ilvl w:val="0"/>
          <w:numId w:val="1"/>
        </w:numPr>
        <w:jc w:val="both"/>
        <w:rPr>
          <w:rFonts w:ascii="Calibri" w:hAnsi="Calibri" w:cs="Calibri"/>
          <w:color w:val="000000"/>
        </w:rPr>
      </w:pPr>
      <w:r w:rsidRPr="00045EDD">
        <w:rPr>
          <w:rFonts w:ascii="Calibri" w:hAnsi="Calibri" w:cs="Calibri"/>
          <w:color w:val="000000"/>
        </w:rPr>
        <w:t>The IAC provides a direct channel for industry input as Congress considers digital asset market structure legislation, which aims to expand the CFTC's oversight into spot digital commodity markets.</w:t>
      </w:r>
    </w:p>
    <w:p w14:paraId="41913C25" w14:textId="4C192922" w:rsidR="00B536BD" w:rsidRPr="005F4623" w:rsidRDefault="00B536BD" w:rsidP="00B536BD">
      <w:pPr>
        <w:pStyle w:val="p2"/>
        <w:spacing w:before="0" w:beforeAutospacing="0" w:after="0" w:afterAutospacing="0"/>
        <w:textAlignment w:val="baseline"/>
        <w:rPr>
          <w:rFonts w:ascii="Calibri" w:eastAsiaTheme="majorEastAsia" w:hAnsi="Calibri" w:cs="Calibri"/>
          <w:sz w:val="22"/>
          <w:szCs w:val="22"/>
          <w:bdr w:val="none" w:sz="0" w:space="0" w:color="auto" w:frame="1"/>
          <w:lang w:val="en-US"/>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r w:rsidR="005F4623" w:rsidRPr="005F4623">
        <w:rPr>
          <w:rStyle w:val="s1"/>
          <w:rFonts w:ascii="Calibri" w:eastAsiaTheme="majorEastAsia" w:hAnsi="Calibri" w:cs="Calibri"/>
          <w:color w:val="E97132" w:themeColor="accent2"/>
          <w:sz w:val="22"/>
          <w:szCs w:val="22"/>
          <w:bdr w:val="none" w:sz="0" w:space="0" w:color="auto" w:frame="1"/>
        </w:rPr>
        <w:fldChar w:fldCharType="begin"/>
      </w:r>
      <w:r w:rsidR="005F4623" w:rsidRPr="005F4623">
        <w:rPr>
          <w:rStyle w:val="s1"/>
          <w:rFonts w:ascii="Calibri" w:eastAsiaTheme="majorEastAsia" w:hAnsi="Calibri" w:cs="Calibri"/>
          <w:color w:val="E97132" w:themeColor="accent2"/>
          <w:sz w:val="22"/>
          <w:szCs w:val="22"/>
          <w:bdr w:val="none" w:sz="0" w:space="0" w:color="auto" w:frame="1"/>
        </w:rPr>
        <w:instrText>HYPERLINK "https://charltonsquantum.com/us-cftc-launches-innovation-advisory-committee-and-appoints-35-member-panel/"</w:instrText>
      </w:r>
      <w:r w:rsidR="005F4623" w:rsidRPr="005F4623">
        <w:rPr>
          <w:rStyle w:val="s1"/>
          <w:rFonts w:ascii="Calibri" w:eastAsiaTheme="majorEastAsia" w:hAnsi="Calibri" w:cs="Calibri"/>
          <w:color w:val="E97132" w:themeColor="accent2"/>
          <w:sz w:val="22"/>
          <w:szCs w:val="22"/>
          <w:bdr w:val="none" w:sz="0" w:space="0" w:color="auto" w:frame="1"/>
        </w:rPr>
      </w:r>
      <w:r w:rsidR="005F4623" w:rsidRPr="005F4623">
        <w:rPr>
          <w:rStyle w:val="s1"/>
          <w:rFonts w:ascii="Calibri" w:eastAsiaTheme="majorEastAsia" w:hAnsi="Calibri" w:cs="Calibri"/>
          <w:color w:val="E97132" w:themeColor="accent2"/>
          <w:sz w:val="22"/>
          <w:szCs w:val="22"/>
          <w:bdr w:val="none" w:sz="0" w:space="0" w:color="auto" w:frame="1"/>
        </w:rPr>
        <w:fldChar w:fldCharType="separate"/>
      </w:r>
      <w:r w:rsidR="005F4623" w:rsidRPr="005F4623">
        <w:rPr>
          <w:rStyle w:val="Hyperlink"/>
          <w:rFonts w:ascii="Calibri" w:eastAsiaTheme="majorEastAsia" w:hAnsi="Calibri" w:cs="Calibri"/>
          <w:color w:val="E97132" w:themeColor="accent2"/>
          <w:sz w:val="22"/>
          <w:szCs w:val="22"/>
          <w:bdr w:val="none" w:sz="0" w:space="0" w:color="auto" w:frame="1"/>
        </w:rPr>
        <w:t>https://charltonsquantum.com/us-cftc-launches-innovation-advisory-committee-and-appoints-35-member-panel/</w:t>
      </w:r>
      <w:r w:rsidR="005F4623" w:rsidRPr="005F4623">
        <w:rPr>
          <w:rStyle w:val="s1"/>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2B60D12C" w14:textId="77777777" w:rsidR="00B536BD" w:rsidRPr="005F4623" w:rsidRDefault="00B536BD" w:rsidP="00B536BD">
      <w:pPr>
        <w:pStyle w:val="p2"/>
        <w:spacing w:before="0" w:beforeAutospacing="0" w:after="0" w:afterAutospacing="0"/>
        <w:textAlignment w:val="baseline"/>
        <w:rPr>
          <w:rFonts w:ascii="Calibri" w:hAnsi="Calibri" w:cs="Calibri"/>
          <w:sz w:val="22"/>
          <w:szCs w:val="22"/>
          <w:lang w:val="en-US"/>
        </w:rPr>
      </w:pPr>
    </w:p>
    <w:p w14:paraId="28D61368" w14:textId="77777777" w:rsidR="004C2176" w:rsidRPr="00045EDD" w:rsidRDefault="004C2176" w:rsidP="00045EDD">
      <w:p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045EDD">
        <w:rPr>
          <w:rFonts w:ascii="Calibri" w:eastAsia="Times New Roman" w:hAnsi="Calibri" w:cs="Calibri"/>
          <w:b/>
          <w:bCs/>
          <w:color w:val="000000"/>
          <w:kern w:val="0"/>
          <w:lang w:eastAsia="en-GB"/>
          <w14:ligatures w14:val="none"/>
        </w:rPr>
        <w:t>United States Securities and Exchange Commission: Paul Tzur and David Morrell Appointed Deputy Directors of the US SEC Division of Enforcement</w:t>
      </w:r>
    </w:p>
    <w:p w14:paraId="763A017E" w14:textId="26206E6E" w:rsidR="004C2176" w:rsidRPr="00045EDD" w:rsidRDefault="004C2176" w:rsidP="00045EDD">
      <w:p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045EDD">
        <w:rPr>
          <w:rFonts w:ascii="Calibri" w:eastAsia="Times New Roman" w:hAnsi="Calibri" w:cs="Calibri"/>
          <w:color w:val="000000"/>
          <w:kern w:val="0"/>
          <w:lang w:eastAsia="en-GB"/>
          <w14:ligatures w14:val="none"/>
        </w:rPr>
        <w:t>On 12 January 2026, the U.S. Securities and Exchange Commission announced the appointment of </w:t>
      </w:r>
      <w:hyperlink r:id="rId14" w:history="1">
        <w:r w:rsidRPr="00B536BD">
          <w:rPr>
            <w:rStyle w:val="Hyperlink"/>
            <w:rFonts w:ascii="Calibri" w:eastAsia="Times New Roman" w:hAnsi="Calibri" w:cs="Calibri"/>
            <w:color w:val="E97132" w:themeColor="accent2"/>
            <w:kern w:val="0"/>
            <w:lang w:eastAsia="en-GB"/>
            <w14:ligatures w14:val="none"/>
          </w:rPr>
          <w:t>Paul H. Tzur and David M. Morrell as Deputy Directors of the Division of Enforcement</w:t>
        </w:r>
      </w:hyperlink>
      <w:r w:rsidRPr="00045EDD">
        <w:rPr>
          <w:rFonts w:ascii="Calibri" w:eastAsia="Times New Roman" w:hAnsi="Calibri" w:cs="Calibri"/>
          <w:color w:val="000000"/>
          <w:kern w:val="0"/>
          <w:lang w:eastAsia="en-GB"/>
          <w14:ligatures w14:val="none"/>
        </w:rPr>
        <w:t>.</w:t>
      </w:r>
      <w:r w:rsidR="00B536BD" w:rsidRPr="00B536BD">
        <w:rPr>
          <w:rFonts w:ascii="Calibri" w:eastAsia="Times New Roman" w:hAnsi="Calibri" w:cs="Calibri"/>
          <w:color w:val="000000"/>
          <w:kern w:val="0"/>
          <w:lang w:val="en-US" w:eastAsia="en-GB"/>
          <w14:ligatures w14:val="none"/>
        </w:rPr>
        <w:t xml:space="preserve"> </w:t>
      </w:r>
      <w:r w:rsidRPr="00045EDD">
        <w:rPr>
          <w:rFonts w:ascii="Calibri" w:hAnsi="Calibri" w:cs="Calibri"/>
          <w:color w:val="1B1B1B"/>
          <w:shd w:val="clear" w:color="auto" w:fill="FFFFFF"/>
        </w:rPr>
        <w:t>US SEC Chairman Paul S. Atkins stated: “</w:t>
      </w:r>
      <w:r w:rsidRPr="00045EDD">
        <w:rPr>
          <w:rFonts w:ascii="Calibri" w:hAnsi="Calibri" w:cs="Calibri"/>
          <w:i/>
          <w:iCs/>
          <w:color w:val="1B1B1B"/>
          <w:shd w:val="clear" w:color="auto" w:fill="FFFFFF"/>
        </w:rPr>
        <w:t>Paul and David are excellent attorneys and dedicated public servants, I am delighted to have such talented individuals join the Division of Enforcement to aid in its critical role of protecting investors and the markets.”</w:t>
      </w:r>
    </w:p>
    <w:p w14:paraId="6F7D2AD7" w14:textId="2A239D3E" w:rsidR="00045EDD" w:rsidRPr="00045EDD" w:rsidRDefault="00045EDD" w:rsidP="00045EDD">
      <w:pPr>
        <w:pStyle w:val="NormalWeb"/>
        <w:numPr>
          <w:ilvl w:val="0"/>
          <w:numId w:val="1"/>
        </w:numPr>
        <w:jc w:val="both"/>
        <w:rPr>
          <w:rFonts w:ascii="Calibri" w:hAnsi="Calibri" w:cs="Calibri"/>
        </w:rPr>
      </w:pPr>
      <w:r w:rsidRPr="00045EDD">
        <w:rPr>
          <w:rFonts w:ascii="Calibri" w:hAnsi="Calibri" w:cs="Calibri"/>
        </w:rPr>
        <w:t>Paul Tzur has assumed leadership over enforcement programs in the Chicago, Atlanta, and Miami Regional Offices.</w:t>
      </w:r>
    </w:p>
    <w:p w14:paraId="2FE1701E" w14:textId="33542156" w:rsidR="00045EDD" w:rsidRPr="00045EDD" w:rsidRDefault="00045EDD" w:rsidP="00045EDD">
      <w:pPr>
        <w:pStyle w:val="NormalWeb"/>
        <w:numPr>
          <w:ilvl w:val="0"/>
          <w:numId w:val="1"/>
        </w:numPr>
        <w:jc w:val="both"/>
        <w:rPr>
          <w:rFonts w:ascii="Calibri" w:hAnsi="Calibri" w:cs="Calibri"/>
        </w:rPr>
      </w:pPr>
      <w:r w:rsidRPr="00045EDD">
        <w:rPr>
          <w:rFonts w:ascii="Calibri" w:hAnsi="Calibri" w:cs="Calibri"/>
        </w:rPr>
        <w:lastRenderedPageBreak/>
        <w:t>David Morrell will oversee the New York, Boston, and Philadelphia offices, covering jurisdictions that handle a high volume of complex fraud, market abuse, and asset management cases.</w:t>
      </w:r>
    </w:p>
    <w:p w14:paraId="1BB586A5" w14:textId="3D8FBF37" w:rsidR="00045EDD" w:rsidRPr="00045EDD" w:rsidRDefault="00045EDD" w:rsidP="00045EDD">
      <w:pPr>
        <w:pStyle w:val="NormalWeb"/>
        <w:numPr>
          <w:ilvl w:val="0"/>
          <w:numId w:val="1"/>
        </w:numPr>
        <w:jc w:val="both"/>
        <w:rPr>
          <w:rFonts w:ascii="Calibri" w:hAnsi="Calibri" w:cs="Calibri"/>
        </w:rPr>
      </w:pPr>
      <w:r w:rsidRPr="00045EDD">
        <w:rPr>
          <w:rFonts w:ascii="Calibri" w:hAnsi="Calibri" w:cs="Calibri"/>
        </w:rPr>
        <w:t>The new deputies are tasked with identifying and pursuing "sensible enforcement actions" to protect market integrity and maintain trust in U.S. financial markets.</w:t>
      </w:r>
    </w:p>
    <w:p w14:paraId="25B71AC6" w14:textId="72556E61" w:rsidR="00045EDD" w:rsidRPr="00B536BD" w:rsidRDefault="00045EDD" w:rsidP="00B536BD">
      <w:pPr>
        <w:pStyle w:val="NormalWeb"/>
        <w:numPr>
          <w:ilvl w:val="0"/>
          <w:numId w:val="1"/>
        </w:numPr>
        <w:jc w:val="both"/>
        <w:rPr>
          <w:rFonts w:ascii="Calibri" w:hAnsi="Calibri" w:cs="Calibri"/>
        </w:rPr>
      </w:pPr>
      <w:r w:rsidRPr="00045EDD">
        <w:rPr>
          <w:rStyle w:val="citation-3"/>
          <w:rFonts w:ascii="Calibri" w:hAnsi="Calibri" w:cs="Calibri"/>
        </w:rPr>
        <w:t>Both appointees are well-regarded practitioners returning to the public sector to manage investigations and litigations across key regional hubs.</w:t>
      </w:r>
    </w:p>
    <w:p w14:paraId="2B64E493" w14:textId="31FE128A" w:rsidR="00B536BD" w:rsidRPr="006F0712" w:rsidRDefault="00B536BD" w:rsidP="00B536BD">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r w:rsidR="00A214A2" w:rsidRPr="00A214A2">
        <w:rPr>
          <w:rStyle w:val="s1"/>
          <w:rFonts w:ascii="Calibri" w:eastAsiaTheme="majorEastAsia" w:hAnsi="Calibri" w:cs="Calibri"/>
          <w:color w:val="E97132" w:themeColor="accent2"/>
          <w:sz w:val="22"/>
          <w:szCs w:val="22"/>
          <w:bdr w:val="none" w:sz="0" w:space="0" w:color="auto" w:frame="1"/>
        </w:rPr>
        <w:fldChar w:fldCharType="begin"/>
      </w:r>
      <w:r w:rsidR="00A214A2" w:rsidRPr="00A214A2">
        <w:rPr>
          <w:rStyle w:val="s1"/>
          <w:rFonts w:ascii="Calibri" w:eastAsiaTheme="majorEastAsia" w:hAnsi="Calibri" w:cs="Calibri"/>
          <w:color w:val="E97132" w:themeColor="accent2"/>
          <w:sz w:val="22"/>
          <w:szCs w:val="22"/>
          <w:bdr w:val="none" w:sz="0" w:space="0" w:color="auto" w:frame="1"/>
        </w:rPr>
        <w:instrText>HYPERLINK "https://charltonsquantum.com/us-sec-appoints-tzur-morrell-deputy-directors/"</w:instrText>
      </w:r>
      <w:r w:rsidR="00A214A2" w:rsidRPr="00A214A2">
        <w:rPr>
          <w:rStyle w:val="s1"/>
          <w:rFonts w:ascii="Calibri" w:eastAsiaTheme="majorEastAsia" w:hAnsi="Calibri" w:cs="Calibri"/>
          <w:color w:val="E97132" w:themeColor="accent2"/>
          <w:sz w:val="22"/>
          <w:szCs w:val="22"/>
          <w:bdr w:val="none" w:sz="0" w:space="0" w:color="auto" w:frame="1"/>
        </w:rPr>
      </w:r>
      <w:r w:rsidR="00A214A2" w:rsidRPr="00A214A2">
        <w:rPr>
          <w:rStyle w:val="s1"/>
          <w:rFonts w:ascii="Calibri" w:eastAsiaTheme="majorEastAsia" w:hAnsi="Calibri" w:cs="Calibri"/>
          <w:color w:val="E97132" w:themeColor="accent2"/>
          <w:sz w:val="22"/>
          <w:szCs w:val="22"/>
          <w:bdr w:val="none" w:sz="0" w:space="0" w:color="auto" w:frame="1"/>
        </w:rPr>
        <w:fldChar w:fldCharType="separate"/>
      </w:r>
      <w:r w:rsidR="00A214A2" w:rsidRPr="00A214A2">
        <w:rPr>
          <w:rStyle w:val="Hyperlink"/>
          <w:rFonts w:ascii="Calibri" w:eastAsiaTheme="majorEastAsia" w:hAnsi="Calibri" w:cs="Calibri"/>
          <w:color w:val="E97132" w:themeColor="accent2"/>
          <w:sz w:val="22"/>
          <w:szCs w:val="22"/>
          <w:bdr w:val="none" w:sz="0" w:space="0" w:color="auto" w:frame="1"/>
        </w:rPr>
        <w:t>https://charltonsquantum.com/us-sec-appoints-tzur-morrell-deputy-directors</w:t>
      </w:r>
      <w:r w:rsidR="00A214A2" w:rsidRPr="00A214A2">
        <w:rPr>
          <w:rStyle w:val="Hyperlink"/>
          <w:rFonts w:ascii="Calibri" w:eastAsiaTheme="majorEastAsia" w:hAnsi="Calibri" w:cs="Calibri"/>
          <w:color w:val="E97132" w:themeColor="accent2"/>
          <w:sz w:val="22"/>
          <w:szCs w:val="22"/>
          <w:bdr w:val="none" w:sz="0" w:space="0" w:color="auto" w:frame="1"/>
        </w:rPr>
        <w:t>/</w:t>
      </w:r>
      <w:r w:rsidR="00A214A2" w:rsidRPr="00A214A2">
        <w:rPr>
          <w:rStyle w:val="s1"/>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60009829" w14:textId="77777777" w:rsidR="00B536BD" w:rsidRPr="00B536BD" w:rsidRDefault="00B536BD" w:rsidP="00045EDD">
      <w:pPr>
        <w:spacing w:before="100" w:beforeAutospacing="1" w:after="100" w:afterAutospacing="1" w:line="240" w:lineRule="auto"/>
        <w:jc w:val="both"/>
        <w:rPr>
          <w:rFonts w:ascii="Calibri" w:eastAsia="Times New Roman" w:hAnsi="Calibri" w:cs="Calibri"/>
          <w:b/>
          <w:bCs/>
          <w:color w:val="000000"/>
          <w:kern w:val="0"/>
          <w:lang w:eastAsia="en-GB"/>
          <w14:ligatures w14:val="none"/>
        </w:rPr>
      </w:pPr>
    </w:p>
    <w:p w14:paraId="0EA2587E" w14:textId="41792801" w:rsidR="004C2176" w:rsidRPr="00045EDD" w:rsidRDefault="004C2176" w:rsidP="00045EDD">
      <w:pPr>
        <w:spacing w:before="100" w:beforeAutospacing="1" w:after="100" w:afterAutospacing="1" w:line="240" w:lineRule="auto"/>
        <w:jc w:val="both"/>
        <w:rPr>
          <w:rFonts w:ascii="Calibri" w:eastAsia="Times New Roman" w:hAnsi="Calibri" w:cs="Calibri"/>
          <w:color w:val="000000"/>
          <w:kern w:val="0"/>
          <w:lang w:eastAsia="en-GB"/>
          <w14:ligatures w14:val="none"/>
        </w:rPr>
      </w:pPr>
      <w:r w:rsidRPr="00045EDD">
        <w:rPr>
          <w:rFonts w:ascii="Calibri" w:eastAsia="Times New Roman" w:hAnsi="Calibri" w:cs="Calibri"/>
          <w:b/>
          <w:bCs/>
          <w:color w:val="000000"/>
          <w:kern w:val="0"/>
          <w:lang w:eastAsia="en-GB"/>
          <w14:ligatures w14:val="none"/>
        </w:rPr>
        <w:t>United States Securities and Exchange Commission under Data Protection &amp; Examinations to Host Hybrid Outreach Event on Regulation S-P Compliance for Small Firms</w:t>
      </w:r>
    </w:p>
    <w:p w14:paraId="379C9F91" w14:textId="052992F3" w:rsidR="004C2176" w:rsidRPr="00045EDD" w:rsidRDefault="004C2176" w:rsidP="00045EDD">
      <w:pPr>
        <w:jc w:val="both"/>
        <w:rPr>
          <w:rFonts w:ascii="Calibri" w:eastAsia="Times New Roman" w:hAnsi="Calibri" w:cs="Calibri"/>
          <w:color w:val="000000"/>
          <w:kern w:val="0"/>
          <w:lang w:eastAsia="en-GB"/>
          <w14:ligatures w14:val="none"/>
        </w:rPr>
      </w:pPr>
      <w:r w:rsidRPr="00045EDD">
        <w:rPr>
          <w:rFonts w:ascii="Calibri" w:eastAsia="Times New Roman" w:hAnsi="Calibri" w:cs="Calibri"/>
          <w:color w:val="000000"/>
          <w:kern w:val="0"/>
          <w:lang w:eastAsia="en-GB"/>
          <w14:ligatures w14:val="none"/>
        </w:rPr>
        <w:t xml:space="preserve">On 9 January 2026, the U.S. Securities and Exchange Commission announced a </w:t>
      </w:r>
      <w:hyperlink r:id="rId15" w:history="1">
        <w:r w:rsidRPr="00B536BD">
          <w:rPr>
            <w:rStyle w:val="Hyperlink"/>
            <w:rFonts w:ascii="Calibri" w:eastAsia="Times New Roman" w:hAnsi="Calibri" w:cs="Calibri"/>
            <w:color w:val="E97132" w:themeColor="accent2"/>
            <w:kern w:val="0"/>
            <w:lang w:eastAsia="en-GB"/>
            <w14:ligatures w14:val="none"/>
          </w:rPr>
          <w:t>hybrid compliance outreach event</w:t>
        </w:r>
      </w:hyperlink>
      <w:r w:rsidRPr="00045EDD">
        <w:rPr>
          <w:rFonts w:ascii="Calibri" w:eastAsia="Times New Roman" w:hAnsi="Calibri" w:cs="Calibri"/>
          <w:color w:val="000000"/>
          <w:kern w:val="0"/>
          <w:lang w:eastAsia="en-GB"/>
          <w14:ligatures w14:val="none"/>
        </w:rPr>
        <w:t> focused on helping small registered firms implement recent amendments to </w:t>
      </w:r>
      <w:hyperlink r:id="rId16" w:history="1">
        <w:r w:rsidRPr="00B536BD">
          <w:rPr>
            <w:rStyle w:val="Hyperlink"/>
            <w:rFonts w:ascii="Calibri" w:eastAsia="Times New Roman" w:hAnsi="Calibri" w:cs="Calibri"/>
            <w:color w:val="E97132" w:themeColor="accent2"/>
            <w:kern w:val="0"/>
            <w:lang w:eastAsia="en-GB"/>
            <w14:ligatures w14:val="none"/>
          </w:rPr>
          <w:t>Regulation S-P</w:t>
        </w:r>
      </w:hyperlink>
      <w:r w:rsidRPr="00045EDD">
        <w:rPr>
          <w:rFonts w:ascii="Calibri" w:eastAsia="Times New Roman" w:hAnsi="Calibri" w:cs="Calibri"/>
          <w:color w:val="000000"/>
          <w:kern w:val="0"/>
          <w:lang w:eastAsia="en-GB"/>
          <w14:ligatures w14:val="none"/>
        </w:rPr>
        <w:t>, the SEC’s core investor data protection and privacy rule. Scheduled for 22 January 2026, it addresses an important market-integrity risk i.e. the increasing exposure of investor personal information arising from cyber incidents, inadequate safeguards, and insufficient incident-response preparedness at smaller market participants.</w:t>
      </w:r>
    </w:p>
    <w:p w14:paraId="241D1457" w14:textId="3F94E387" w:rsidR="004C2176" w:rsidRPr="00045EDD" w:rsidRDefault="004C2176" w:rsidP="00045EDD">
      <w:pPr>
        <w:pStyle w:val="NormalWeb"/>
        <w:numPr>
          <w:ilvl w:val="0"/>
          <w:numId w:val="1"/>
        </w:numPr>
        <w:jc w:val="both"/>
        <w:rPr>
          <w:rFonts w:ascii="Calibri" w:hAnsi="Calibri" w:cs="Calibri"/>
        </w:rPr>
      </w:pPr>
      <w:r w:rsidRPr="00045EDD">
        <w:rPr>
          <w:rFonts w:ascii="Calibri" w:hAnsi="Calibri" w:cs="Calibri"/>
        </w:rPr>
        <w:t>The initiative specifically targets small investment advisers and broker-dealers to address heightened market-integrity risks from cyber incidents and inadequate data safeguards.</w:t>
      </w:r>
    </w:p>
    <w:p w14:paraId="0AA20AD3" w14:textId="4DE99074" w:rsidR="004C2176" w:rsidRPr="00045EDD" w:rsidRDefault="004C2176" w:rsidP="00045EDD">
      <w:pPr>
        <w:pStyle w:val="NormalWeb"/>
        <w:numPr>
          <w:ilvl w:val="0"/>
          <w:numId w:val="1"/>
        </w:numPr>
        <w:jc w:val="both"/>
        <w:rPr>
          <w:rFonts w:ascii="Calibri" w:hAnsi="Calibri" w:cs="Calibri"/>
        </w:rPr>
      </w:pPr>
      <w:r w:rsidRPr="00045EDD">
        <w:rPr>
          <w:rFonts w:ascii="Calibri" w:hAnsi="Calibri" w:cs="Calibri"/>
        </w:rPr>
        <w:t>Amendments to Regulation S-P impose operationally testable requirements for safeguarding customer information, incident response preparedness, and regulatory interaction during examinations.</w:t>
      </w:r>
    </w:p>
    <w:p w14:paraId="0586037E" w14:textId="145786E3" w:rsidR="004C2176" w:rsidRPr="00045EDD" w:rsidRDefault="004C2176" w:rsidP="00045EDD">
      <w:pPr>
        <w:pStyle w:val="NormalWeb"/>
        <w:numPr>
          <w:ilvl w:val="0"/>
          <w:numId w:val="1"/>
        </w:numPr>
        <w:jc w:val="both"/>
        <w:rPr>
          <w:rFonts w:ascii="Calibri" w:hAnsi="Calibri" w:cs="Calibri"/>
        </w:rPr>
      </w:pPr>
      <w:r w:rsidRPr="00045EDD">
        <w:rPr>
          <w:rFonts w:ascii="Calibri" w:hAnsi="Calibri" w:cs="Calibri"/>
        </w:rPr>
        <w:t>The event featured a "workshop-driven" approach, including a simulated incident response tabletop exercise and a mock examination session using sample document request lists.</w:t>
      </w:r>
    </w:p>
    <w:p w14:paraId="0140AD27" w14:textId="7CDE76A5" w:rsidR="004C2176" w:rsidRPr="00045EDD" w:rsidRDefault="004C2176" w:rsidP="00045EDD">
      <w:pPr>
        <w:pStyle w:val="NormalWeb"/>
        <w:numPr>
          <w:ilvl w:val="0"/>
          <w:numId w:val="1"/>
        </w:numPr>
        <w:jc w:val="both"/>
        <w:rPr>
          <w:rFonts w:ascii="Calibri" w:hAnsi="Calibri" w:cs="Calibri"/>
        </w:rPr>
      </w:pPr>
      <w:r w:rsidRPr="00045EDD">
        <w:rPr>
          <w:rFonts w:ascii="Calibri" w:hAnsi="Calibri" w:cs="Calibri"/>
        </w:rPr>
        <w:t xml:space="preserve">By providing guidance alongside examination simulations, the SEC </w:t>
      </w:r>
      <w:proofErr w:type="spellStart"/>
      <w:r w:rsidRPr="00045EDD">
        <w:rPr>
          <w:rFonts w:ascii="Calibri" w:hAnsi="Calibri" w:cs="Calibri"/>
        </w:rPr>
        <w:t>signaled</w:t>
      </w:r>
      <w:proofErr w:type="spellEnd"/>
      <w:r w:rsidRPr="00045EDD">
        <w:rPr>
          <w:rFonts w:ascii="Calibri" w:hAnsi="Calibri" w:cs="Calibri"/>
        </w:rPr>
        <w:t xml:space="preserve"> that firms are expected to understand both the technical requirements and the specific methods staff will use to assess compliance.</w:t>
      </w:r>
    </w:p>
    <w:p w14:paraId="018E2EEA" w14:textId="13027967" w:rsidR="000A6023" w:rsidRPr="00B536BD" w:rsidRDefault="004C2176" w:rsidP="000A6023">
      <w:pPr>
        <w:pStyle w:val="NormalWeb"/>
        <w:numPr>
          <w:ilvl w:val="0"/>
          <w:numId w:val="1"/>
        </w:numPr>
        <w:jc w:val="both"/>
        <w:rPr>
          <w:rFonts w:ascii="Calibri" w:hAnsi="Calibri" w:cs="Calibri"/>
        </w:rPr>
      </w:pPr>
      <w:r w:rsidRPr="00045EDD">
        <w:rPr>
          <w:rFonts w:ascii="Calibri" w:hAnsi="Calibri" w:cs="Calibri"/>
        </w:rPr>
        <w:t>Regulation S-P is maintained under the Securities Exchange Act of 1934 and the Investment Advisers Act of 1940, with the 2026 focus shifting toward rigorous governance and exam readiness.</w:t>
      </w:r>
    </w:p>
    <w:p w14:paraId="6CBD9F06" w14:textId="06A2E4E0" w:rsidR="00B536BD" w:rsidRPr="006F0712" w:rsidRDefault="00B536BD" w:rsidP="00B536BD">
      <w:pPr>
        <w:pStyle w:val="p2"/>
        <w:spacing w:before="0" w:beforeAutospacing="0" w:after="0" w:afterAutospacing="0"/>
        <w:textAlignment w:val="baseline"/>
        <w:rPr>
          <w:rFonts w:ascii="Calibri" w:hAnsi="Calibri" w:cs="Calibri"/>
          <w:sz w:val="22"/>
          <w:szCs w:val="22"/>
        </w:rPr>
      </w:pPr>
      <w:r w:rsidRPr="00FC1006">
        <w:rPr>
          <w:rStyle w:val="s1"/>
          <w:rFonts w:ascii="Calibri" w:eastAsiaTheme="majorEastAsia" w:hAnsi="Calibri" w:cs="Calibri"/>
          <w:sz w:val="22"/>
          <w:szCs w:val="22"/>
          <w:bdr w:val="none" w:sz="0" w:space="0" w:color="auto" w:frame="1"/>
        </w:rPr>
        <w:t>(Source</w:t>
      </w:r>
      <w:r>
        <w:rPr>
          <w:rStyle w:val="s1"/>
          <w:rFonts w:ascii="Calibri" w:eastAsiaTheme="majorEastAsia" w:hAnsi="Calibri" w:cs="Calibri"/>
          <w:sz w:val="22"/>
          <w:szCs w:val="22"/>
          <w:bdr w:val="none" w:sz="0" w:space="0" w:color="auto" w:frame="1"/>
        </w:rPr>
        <w:t xml:space="preserve">: </w:t>
      </w:r>
      <w:r w:rsidR="0069143A" w:rsidRPr="0069143A">
        <w:rPr>
          <w:rStyle w:val="s1"/>
          <w:rFonts w:ascii="Calibri" w:eastAsiaTheme="majorEastAsia" w:hAnsi="Calibri" w:cs="Calibri"/>
          <w:color w:val="E97132" w:themeColor="accent2"/>
          <w:sz w:val="22"/>
          <w:szCs w:val="22"/>
          <w:bdr w:val="none" w:sz="0" w:space="0" w:color="auto" w:frame="1"/>
        </w:rPr>
        <w:fldChar w:fldCharType="begin"/>
      </w:r>
      <w:r w:rsidR="0069143A" w:rsidRPr="0069143A">
        <w:rPr>
          <w:rStyle w:val="s1"/>
          <w:rFonts w:ascii="Calibri" w:eastAsiaTheme="majorEastAsia" w:hAnsi="Calibri" w:cs="Calibri"/>
          <w:color w:val="E97132" w:themeColor="accent2"/>
          <w:sz w:val="22"/>
          <w:szCs w:val="22"/>
          <w:bdr w:val="none" w:sz="0" w:space="0" w:color="auto" w:frame="1"/>
        </w:rPr>
        <w:instrText>HYPERLINK "https://charltonsquantum.com/us-sec-regulation-sp-compliance-outreach/"</w:instrText>
      </w:r>
      <w:r w:rsidR="0069143A" w:rsidRPr="0069143A">
        <w:rPr>
          <w:rStyle w:val="s1"/>
          <w:rFonts w:ascii="Calibri" w:eastAsiaTheme="majorEastAsia" w:hAnsi="Calibri" w:cs="Calibri"/>
          <w:color w:val="E97132" w:themeColor="accent2"/>
          <w:sz w:val="22"/>
          <w:szCs w:val="22"/>
          <w:bdr w:val="none" w:sz="0" w:space="0" w:color="auto" w:frame="1"/>
        </w:rPr>
      </w:r>
      <w:r w:rsidR="0069143A" w:rsidRPr="0069143A">
        <w:rPr>
          <w:rStyle w:val="s1"/>
          <w:rFonts w:ascii="Calibri" w:eastAsiaTheme="majorEastAsia" w:hAnsi="Calibri" w:cs="Calibri"/>
          <w:color w:val="E97132" w:themeColor="accent2"/>
          <w:sz w:val="22"/>
          <w:szCs w:val="22"/>
          <w:bdr w:val="none" w:sz="0" w:space="0" w:color="auto" w:frame="1"/>
        </w:rPr>
        <w:fldChar w:fldCharType="separate"/>
      </w:r>
      <w:r w:rsidR="0069143A" w:rsidRPr="0069143A">
        <w:rPr>
          <w:rStyle w:val="Hyperlink"/>
          <w:rFonts w:ascii="Calibri" w:eastAsiaTheme="majorEastAsia" w:hAnsi="Calibri" w:cs="Calibri"/>
          <w:color w:val="E97132" w:themeColor="accent2"/>
          <w:sz w:val="22"/>
          <w:szCs w:val="22"/>
          <w:bdr w:val="none" w:sz="0" w:space="0" w:color="auto" w:frame="1"/>
        </w:rPr>
        <w:t>https://charltonsquantum.com/us-sec-regulation-sp-compliance-outreach/</w:t>
      </w:r>
      <w:r w:rsidR="0069143A" w:rsidRPr="0069143A">
        <w:rPr>
          <w:rStyle w:val="s1"/>
          <w:rFonts w:ascii="Calibri" w:eastAsiaTheme="majorEastAsia" w:hAnsi="Calibri" w:cs="Calibri"/>
          <w:color w:val="E97132" w:themeColor="accent2"/>
          <w:sz w:val="22"/>
          <w:szCs w:val="22"/>
          <w:bdr w:val="none" w:sz="0" w:space="0" w:color="auto" w:frame="1"/>
        </w:rPr>
        <w:fldChar w:fldCharType="end"/>
      </w:r>
      <w:r w:rsidRPr="00C40E40">
        <w:rPr>
          <w:rFonts w:ascii="Calibri" w:eastAsiaTheme="majorEastAsia" w:hAnsi="Calibri" w:cs="Calibri"/>
          <w:sz w:val="22"/>
          <w:szCs w:val="22"/>
          <w:bdr w:val="none" w:sz="0" w:space="0" w:color="auto" w:frame="1"/>
        </w:rPr>
        <w:t>)</w:t>
      </w:r>
    </w:p>
    <w:p w14:paraId="73049C6E" w14:textId="77777777" w:rsidR="000A6023" w:rsidRPr="0069143A" w:rsidRDefault="000A6023" w:rsidP="000A6023">
      <w:pPr>
        <w:pStyle w:val="NormalWeb"/>
        <w:jc w:val="both"/>
        <w:rPr>
          <w:rFonts w:ascii="Calibri" w:hAnsi="Calibri" w:cs="Calibri"/>
          <w:lang w:val="en-US"/>
        </w:rPr>
      </w:pPr>
    </w:p>
    <w:p w14:paraId="2A88490B" w14:textId="77777777" w:rsidR="00B536BD" w:rsidRPr="0069143A" w:rsidRDefault="00B536BD" w:rsidP="000A6023">
      <w:pPr>
        <w:pStyle w:val="NormalWeb"/>
        <w:jc w:val="both"/>
        <w:rPr>
          <w:rFonts w:ascii="Calibri" w:hAnsi="Calibri" w:cs="Calibri"/>
          <w:lang w:val="en-US"/>
        </w:rPr>
      </w:pPr>
    </w:p>
    <w:p w14:paraId="12193156" w14:textId="77777777" w:rsidR="000A6023" w:rsidRDefault="000A6023" w:rsidP="000A6023">
      <w:pPr>
        <w:pStyle w:val="NormalWeb"/>
        <w:jc w:val="both"/>
        <w:rPr>
          <w:rFonts w:ascii="Calibri" w:hAnsi="Calibri" w:cs="Calibri"/>
          <w:lang w:val="ru-RU"/>
        </w:rPr>
      </w:pPr>
    </w:p>
    <w:p w14:paraId="7AE4B125" w14:textId="77777777" w:rsidR="0069143A" w:rsidRPr="0069143A" w:rsidRDefault="0069143A" w:rsidP="000A6023">
      <w:pPr>
        <w:pStyle w:val="NormalWeb"/>
        <w:jc w:val="both"/>
        <w:rPr>
          <w:rFonts w:ascii="Calibri" w:hAnsi="Calibri" w:cs="Calibri"/>
          <w:lang w:val="ru-RU"/>
        </w:rPr>
      </w:pPr>
    </w:p>
    <w:p w14:paraId="5E1CDD29" w14:textId="77777777" w:rsidR="000A6023" w:rsidRDefault="000A6023" w:rsidP="000A6023">
      <w:pPr>
        <w:rPr>
          <w:rFonts w:ascii="Arial" w:eastAsia="Arial" w:hAnsi="Arial" w:cs="Arial"/>
          <w:b/>
          <w:color w:val="00000A"/>
        </w:rPr>
      </w:pPr>
      <w:r>
        <w:rPr>
          <w:rFonts w:ascii="Arial" w:eastAsia="Arial" w:hAnsi="Arial" w:cs="Arial"/>
          <w:b/>
          <w:color w:val="00000A"/>
          <w:sz w:val="22"/>
          <w:szCs w:val="22"/>
        </w:rPr>
        <w:lastRenderedPageBreak/>
        <w:t>This newsletter is for information purposes only.</w:t>
      </w:r>
    </w:p>
    <w:p w14:paraId="145D5B71" w14:textId="77777777" w:rsidR="000A6023" w:rsidRDefault="000A6023" w:rsidP="000A6023">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5C89C6F4" w14:textId="77777777" w:rsidR="000A6023" w:rsidRDefault="000A6023" w:rsidP="000A6023">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CA274BB" w14:textId="77777777" w:rsidR="000A6023" w:rsidRDefault="000A6023" w:rsidP="000A6023">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F64E799" w14:textId="77777777" w:rsidR="000A6023" w:rsidRDefault="000A6023" w:rsidP="000A6023">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0D15C53B" w14:textId="77777777" w:rsidR="000A6023" w:rsidRDefault="000A6023" w:rsidP="000A6023">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173C2A73" w14:textId="77777777" w:rsidR="000A6023" w:rsidRDefault="000A6023" w:rsidP="000A6023">
      <w:pPr>
        <w:pBdr>
          <w:top w:val="single" w:sz="4" w:space="1" w:color="000001"/>
          <w:left w:val="single" w:sz="4" w:space="1" w:color="000001"/>
          <w:bottom w:val="single" w:sz="4" w:space="1" w:color="000001"/>
          <w:right w:val="single" w:sz="4" w:space="1" w:color="000001"/>
          <w:between w:val="nil"/>
        </w:pBdr>
        <w:shd w:val="clear" w:color="auto" w:fill="DDDDDD"/>
        <w:spacing w:before="101" w:after="101"/>
        <w:jc w:val="both"/>
        <w:rPr>
          <w:rFonts w:ascii="Arial" w:eastAsia="Arial" w:hAnsi="Arial" w:cs="Arial"/>
          <w:color w:val="00000A"/>
        </w:rPr>
      </w:pPr>
      <w:r>
        <w:rPr>
          <w:rFonts w:ascii="Arial" w:eastAsia="Arial" w:hAnsi="Arial" w:cs="Arial"/>
          <w:color w:val="00000A"/>
          <w:sz w:val="22"/>
          <w:szCs w:val="22"/>
        </w:rPr>
        <w:t xml:space="preserve">If you do not wish to receive this newsletter please let us know by emailing us at  </w:t>
      </w:r>
      <w:hyperlink r:id="rId17">
        <w:r>
          <w:rPr>
            <w:rFonts w:ascii="Arial" w:eastAsia="Arial" w:hAnsi="Arial" w:cs="Arial"/>
            <w:color w:val="00000A"/>
            <w:sz w:val="22"/>
            <w:szCs w:val="22"/>
          </w:rPr>
          <w:t>unsubscribe@charltonslaw.com</w:t>
        </w:r>
      </w:hyperlink>
    </w:p>
    <w:p w14:paraId="7A353239" w14:textId="76800862" w:rsidR="000A6023" w:rsidRPr="006F0712" w:rsidRDefault="000A6023" w:rsidP="000A6023">
      <w:pPr>
        <w:pBdr>
          <w:top w:val="nil"/>
          <w:left w:val="nil"/>
          <w:bottom w:val="nil"/>
          <w:right w:val="nil"/>
          <w:between w:val="nil"/>
        </w:pBdr>
        <w:shd w:val="clear" w:color="auto" w:fill="000000"/>
        <w:spacing w:after="200"/>
        <w:jc w:val="center"/>
        <w:rPr>
          <w:rFonts w:ascii="Arial" w:eastAsia="Arial" w:hAnsi="Arial" w:cs="Arial"/>
          <w:color w:val="FFFFFF"/>
          <w:lang w:val="en-US"/>
        </w:rPr>
      </w:pPr>
      <w:bookmarkStart w:id="0" w:name="_heading=h.mbil623dedjd" w:colFirst="0" w:colLast="0"/>
      <w:bookmarkEnd w:id="0"/>
      <w:proofErr w:type="spellStart"/>
      <w:r>
        <w:rPr>
          <w:rFonts w:ascii="Arial" w:eastAsia="Arial" w:hAnsi="Arial" w:cs="Arial"/>
          <w:color w:val="FFFFFF"/>
          <w:sz w:val="22"/>
          <w:szCs w:val="22"/>
        </w:rPr>
        <w:t>Charltons</w:t>
      </w:r>
      <w:proofErr w:type="spellEnd"/>
      <w:r>
        <w:rPr>
          <w:rFonts w:ascii="Arial" w:eastAsia="Arial" w:hAnsi="Arial" w:cs="Arial"/>
          <w:color w:val="FFFFFF"/>
          <w:sz w:val="22"/>
          <w:szCs w:val="22"/>
        </w:rPr>
        <w:t xml:space="preserve"> Quantum – Quantum Updates </w:t>
      </w:r>
      <w:r>
        <w:rPr>
          <w:rFonts w:ascii="Arial" w:eastAsia="Arial" w:hAnsi="Arial" w:cs="Arial"/>
          <w:color w:val="FFFFFF"/>
        </w:rPr>
        <w:t>6</w:t>
      </w:r>
      <w:r>
        <w:rPr>
          <w:rFonts w:ascii="Arial" w:eastAsia="Arial" w:hAnsi="Arial" w:cs="Arial"/>
          <w:color w:val="FFFFFF"/>
          <w:lang w:val="en-US"/>
        </w:rPr>
        <w:t>5</w:t>
      </w:r>
      <w:r>
        <w:rPr>
          <w:rFonts w:ascii="Arial" w:eastAsia="Arial" w:hAnsi="Arial" w:cs="Arial"/>
          <w:color w:val="FFFFFF"/>
          <w:sz w:val="22"/>
          <w:szCs w:val="22"/>
        </w:rPr>
        <w:t xml:space="preserve"> – </w:t>
      </w:r>
      <w:r>
        <w:rPr>
          <w:rFonts w:ascii="Arial" w:eastAsia="Arial" w:hAnsi="Arial" w:cs="Arial"/>
          <w:color w:val="FFFFFF"/>
          <w:lang w:val="en-US"/>
        </w:rPr>
        <w:t>March</w:t>
      </w:r>
      <w:r>
        <w:rPr>
          <w:rFonts w:ascii="Arial" w:eastAsia="Arial" w:hAnsi="Arial" w:cs="Arial"/>
          <w:color w:val="FFFFFF"/>
          <w:sz w:val="22"/>
          <w:szCs w:val="22"/>
        </w:rPr>
        <w:t xml:space="preserve"> 2026</w:t>
      </w:r>
    </w:p>
    <w:p w14:paraId="1B3512BF" w14:textId="77777777" w:rsidR="000A6023" w:rsidRPr="000A6023" w:rsidRDefault="000A6023" w:rsidP="000A6023">
      <w:pPr>
        <w:pStyle w:val="NormalWeb"/>
        <w:jc w:val="both"/>
        <w:rPr>
          <w:rFonts w:ascii="Calibri" w:hAnsi="Calibri" w:cs="Calibri"/>
          <w:lang w:val="en-US"/>
        </w:rPr>
      </w:pPr>
    </w:p>
    <w:p w14:paraId="3BED09E6" w14:textId="77777777" w:rsidR="004C2176" w:rsidRPr="00045EDD" w:rsidRDefault="004C2176" w:rsidP="00045EDD">
      <w:pPr>
        <w:jc w:val="both"/>
        <w:rPr>
          <w:rFonts w:ascii="Calibri" w:hAnsi="Calibri" w:cs="Calibri"/>
        </w:rPr>
      </w:pPr>
    </w:p>
    <w:sectPr w:rsidR="004C2176" w:rsidRPr="00045EDD">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59B5" w14:textId="77777777" w:rsidR="0094557E" w:rsidRDefault="0094557E" w:rsidP="00554A92">
      <w:pPr>
        <w:spacing w:after="0" w:line="240" w:lineRule="auto"/>
      </w:pPr>
      <w:r>
        <w:separator/>
      </w:r>
    </w:p>
  </w:endnote>
  <w:endnote w:type="continuationSeparator" w:id="0">
    <w:p w14:paraId="005D506E" w14:textId="77777777" w:rsidR="0094557E" w:rsidRDefault="0094557E" w:rsidP="0055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189350"/>
      <w:docPartObj>
        <w:docPartGallery w:val="Page Numbers (Bottom of Page)"/>
        <w:docPartUnique/>
      </w:docPartObj>
    </w:sdtPr>
    <w:sdtContent>
      <w:p w14:paraId="3080FE2C" w14:textId="22497F72" w:rsidR="00554A92" w:rsidRDefault="00554A92" w:rsidP="00903D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0E73E5" w14:textId="77777777" w:rsidR="00554A92" w:rsidRDefault="00554A92" w:rsidP="00554A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0765569"/>
      <w:docPartObj>
        <w:docPartGallery w:val="Page Numbers (Bottom of Page)"/>
        <w:docPartUnique/>
      </w:docPartObj>
    </w:sdtPr>
    <w:sdtContent>
      <w:p w14:paraId="737F4C6A" w14:textId="1B4DF701" w:rsidR="00554A92" w:rsidRDefault="00554A92" w:rsidP="00903D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35E42D" w14:textId="77777777" w:rsidR="00554A92" w:rsidRDefault="00554A92" w:rsidP="00554A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1150" w14:textId="77777777" w:rsidR="0094557E" w:rsidRDefault="0094557E" w:rsidP="00554A92">
      <w:pPr>
        <w:spacing w:after="0" w:line="240" w:lineRule="auto"/>
      </w:pPr>
      <w:r>
        <w:separator/>
      </w:r>
    </w:p>
  </w:footnote>
  <w:footnote w:type="continuationSeparator" w:id="0">
    <w:p w14:paraId="59EBB957" w14:textId="77777777" w:rsidR="0094557E" w:rsidRDefault="0094557E" w:rsidP="00554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D52"/>
    <w:multiLevelType w:val="multilevel"/>
    <w:tmpl w:val="7452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1270B"/>
    <w:multiLevelType w:val="hybridMultilevel"/>
    <w:tmpl w:val="12606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D95A70"/>
    <w:multiLevelType w:val="hybridMultilevel"/>
    <w:tmpl w:val="9E580228"/>
    <w:lvl w:ilvl="0" w:tplc="9B4C63EA">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AD531A"/>
    <w:multiLevelType w:val="hybridMultilevel"/>
    <w:tmpl w:val="9CF6F5FC"/>
    <w:lvl w:ilvl="0" w:tplc="9B4C63EA">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332EA6"/>
    <w:multiLevelType w:val="hybridMultilevel"/>
    <w:tmpl w:val="2DD48F8C"/>
    <w:lvl w:ilvl="0" w:tplc="9B4C63EA">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DAE5D9B"/>
    <w:multiLevelType w:val="hybridMultilevel"/>
    <w:tmpl w:val="80D620BA"/>
    <w:lvl w:ilvl="0" w:tplc="9B4C63EA">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1F6B8F"/>
    <w:multiLevelType w:val="hybridMultilevel"/>
    <w:tmpl w:val="265E4EC4"/>
    <w:lvl w:ilvl="0" w:tplc="9B4C63EA">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97659EC"/>
    <w:multiLevelType w:val="hybridMultilevel"/>
    <w:tmpl w:val="E9505AF0"/>
    <w:lvl w:ilvl="0" w:tplc="9B4C63EA">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A2A579C"/>
    <w:multiLevelType w:val="hybridMultilevel"/>
    <w:tmpl w:val="8430B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D8C6804"/>
    <w:multiLevelType w:val="hybridMultilevel"/>
    <w:tmpl w:val="95BCC256"/>
    <w:lvl w:ilvl="0" w:tplc="9B4C63EA">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A82175F"/>
    <w:multiLevelType w:val="hybridMultilevel"/>
    <w:tmpl w:val="73F60E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3449097">
    <w:abstractNumId w:val="0"/>
  </w:num>
  <w:num w:numId="2" w16cid:durableId="1076628003">
    <w:abstractNumId w:val="1"/>
  </w:num>
  <w:num w:numId="3" w16cid:durableId="2006325764">
    <w:abstractNumId w:val="9"/>
  </w:num>
  <w:num w:numId="4" w16cid:durableId="77211885">
    <w:abstractNumId w:val="7"/>
  </w:num>
  <w:num w:numId="5" w16cid:durableId="2060124774">
    <w:abstractNumId w:val="3"/>
  </w:num>
  <w:num w:numId="6" w16cid:durableId="1593661699">
    <w:abstractNumId w:val="4"/>
  </w:num>
  <w:num w:numId="7" w16cid:durableId="1197698372">
    <w:abstractNumId w:val="2"/>
  </w:num>
  <w:num w:numId="8" w16cid:durableId="719133412">
    <w:abstractNumId w:val="5"/>
  </w:num>
  <w:num w:numId="9" w16cid:durableId="1450584184">
    <w:abstractNumId w:val="6"/>
  </w:num>
  <w:num w:numId="10" w16cid:durableId="257257445">
    <w:abstractNumId w:val="10"/>
  </w:num>
  <w:num w:numId="11" w16cid:durableId="1536235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76"/>
    <w:rsid w:val="00045EDD"/>
    <w:rsid w:val="00087ABC"/>
    <w:rsid w:val="000A6023"/>
    <w:rsid w:val="001C422E"/>
    <w:rsid w:val="00456C51"/>
    <w:rsid w:val="004C2176"/>
    <w:rsid w:val="00554A92"/>
    <w:rsid w:val="005F4623"/>
    <w:rsid w:val="0069143A"/>
    <w:rsid w:val="00830768"/>
    <w:rsid w:val="008E3D18"/>
    <w:rsid w:val="0094557E"/>
    <w:rsid w:val="00A214A2"/>
    <w:rsid w:val="00B10EB5"/>
    <w:rsid w:val="00B536BD"/>
    <w:rsid w:val="00D50708"/>
    <w:rsid w:val="00E60CF2"/>
    <w:rsid w:val="00F911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64B4375"/>
  <w15:chartTrackingRefBased/>
  <w15:docId w15:val="{18C45D0A-BCB4-6D4E-BF99-0A60E7E1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76"/>
  </w:style>
  <w:style w:type="paragraph" w:styleId="Heading1">
    <w:name w:val="heading 1"/>
    <w:basedOn w:val="Normal"/>
    <w:next w:val="Normal"/>
    <w:link w:val="Heading1Char"/>
    <w:uiPriority w:val="9"/>
    <w:qFormat/>
    <w:rsid w:val="004C2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176"/>
    <w:rPr>
      <w:rFonts w:eastAsiaTheme="majorEastAsia" w:cstheme="majorBidi"/>
      <w:color w:val="272727" w:themeColor="text1" w:themeTint="D8"/>
    </w:rPr>
  </w:style>
  <w:style w:type="paragraph" w:styleId="Title">
    <w:name w:val="Title"/>
    <w:basedOn w:val="Normal"/>
    <w:next w:val="Normal"/>
    <w:link w:val="TitleChar"/>
    <w:uiPriority w:val="10"/>
    <w:qFormat/>
    <w:rsid w:val="004C2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176"/>
    <w:pPr>
      <w:spacing w:before="160"/>
      <w:jc w:val="center"/>
    </w:pPr>
    <w:rPr>
      <w:i/>
      <w:iCs/>
      <w:color w:val="404040" w:themeColor="text1" w:themeTint="BF"/>
    </w:rPr>
  </w:style>
  <w:style w:type="character" w:customStyle="1" w:styleId="QuoteChar">
    <w:name w:val="Quote Char"/>
    <w:basedOn w:val="DefaultParagraphFont"/>
    <w:link w:val="Quote"/>
    <w:uiPriority w:val="29"/>
    <w:rsid w:val="004C2176"/>
    <w:rPr>
      <w:i/>
      <w:iCs/>
      <w:color w:val="404040" w:themeColor="text1" w:themeTint="BF"/>
    </w:rPr>
  </w:style>
  <w:style w:type="paragraph" w:styleId="ListParagraph">
    <w:name w:val="List Paragraph"/>
    <w:basedOn w:val="Normal"/>
    <w:uiPriority w:val="34"/>
    <w:qFormat/>
    <w:rsid w:val="004C2176"/>
    <w:pPr>
      <w:ind w:left="720"/>
      <w:contextualSpacing/>
    </w:pPr>
  </w:style>
  <w:style w:type="character" w:styleId="IntenseEmphasis">
    <w:name w:val="Intense Emphasis"/>
    <w:basedOn w:val="DefaultParagraphFont"/>
    <w:uiPriority w:val="21"/>
    <w:qFormat/>
    <w:rsid w:val="004C2176"/>
    <w:rPr>
      <w:i/>
      <w:iCs/>
      <w:color w:val="0F4761" w:themeColor="accent1" w:themeShade="BF"/>
    </w:rPr>
  </w:style>
  <w:style w:type="paragraph" w:styleId="IntenseQuote">
    <w:name w:val="Intense Quote"/>
    <w:basedOn w:val="Normal"/>
    <w:next w:val="Normal"/>
    <w:link w:val="IntenseQuoteChar"/>
    <w:uiPriority w:val="30"/>
    <w:qFormat/>
    <w:rsid w:val="004C2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176"/>
    <w:rPr>
      <w:i/>
      <w:iCs/>
      <w:color w:val="0F4761" w:themeColor="accent1" w:themeShade="BF"/>
    </w:rPr>
  </w:style>
  <w:style w:type="character" w:styleId="IntenseReference">
    <w:name w:val="Intense Reference"/>
    <w:basedOn w:val="DefaultParagraphFont"/>
    <w:uiPriority w:val="32"/>
    <w:qFormat/>
    <w:rsid w:val="004C2176"/>
    <w:rPr>
      <w:b/>
      <w:bCs/>
      <w:smallCaps/>
      <w:color w:val="0F4761" w:themeColor="accent1" w:themeShade="BF"/>
      <w:spacing w:val="5"/>
    </w:rPr>
  </w:style>
  <w:style w:type="character" w:styleId="Hyperlink">
    <w:name w:val="Hyperlink"/>
    <w:basedOn w:val="DefaultParagraphFont"/>
    <w:uiPriority w:val="99"/>
    <w:unhideWhenUsed/>
    <w:rsid w:val="004C2176"/>
    <w:rPr>
      <w:color w:val="467886" w:themeColor="hyperlink"/>
      <w:u w:val="single"/>
    </w:rPr>
  </w:style>
  <w:style w:type="paragraph" w:styleId="NormalWeb">
    <w:name w:val="Normal (Web)"/>
    <w:basedOn w:val="Normal"/>
    <w:uiPriority w:val="99"/>
    <w:unhideWhenUsed/>
    <w:rsid w:val="004C217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C2176"/>
  </w:style>
  <w:style w:type="character" w:customStyle="1" w:styleId="citation-4">
    <w:name w:val="citation-4"/>
    <w:basedOn w:val="DefaultParagraphFont"/>
    <w:rsid w:val="00045EDD"/>
  </w:style>
  <w:style w:type="character" w:customStyle="1" w:styleId="citation-3">
    <w:name w:val="citation-3"/>
    <w:basedOn w:val="DefaultParagraphFont"/>
    <w:rsid w:val="00045EDD"/>
  </w:style>
  <w:style w:type="paragraph" w:styleId="Footer">
    <w:name w:val="footer"/>
    <w:basedOn w:val="Normal"/>
    <w:link w:val="FooterChar"/>
    <w:uiPriority w:val="99"/>
    <w:unhideWhenUsed/>
    <w:rsid w:val="00554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A92"/>
  </w:style>
  <w:style w:type="character" w:styleId="PageNumber">
    <w:name w:val="page number"/>
    <w:basedOn w:val="DefaultParagraphFont"/>
    <w:uiPriority w:val="99"/>
    <w:semiHidden/>
    <w:unhideWhenUsed/>
    <w:rsid w:val="00554A92"/>
  </w:style>
  <w:style w:type="character" w:styleId="Strong">
    <w:name w:val="Strong"/>
    <w:basedOn w:val="DefaultParagraphFont"/>
    <w:uiPriority w:val="22"/>
    <w:qFormat/>
    <w:rsid w:val="000A6023"/>
    <w:rPr>
      <w:b/>
      <w:bCs/>
    </w:rPr>
  </w:style>
  <w:style w:type="character" w:customStyle="1" w:styleId="s1">
    <w:name w:val="s1"/>
    <w:basedOn w:val="DefaultParagraphFont"/>
    <w:rsid w:val="00B536BD"/>
  </w:style>
  <w:style w:type="paragraph" w:customStyle="1" w:styleId="p2">
    <w:name w:val="p2"/>
    <w:basedOn w:val="Normal"/>
    <w:rsid w:val="00B536B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UnresolvedMention">
    <w:name w:val="Unresolved Mention"/>
    <w:basedOn w:val="DefaultParagraphFont"/>
    <w:uiPriority w:val="99"/>
    <w:semiHidden/>
    <w:unhideWhenUsed/>
    <w:rsid w:val="005F4623"/>
    <w:rPr>
      <w:color w:val="605E5C"/>
      <w:shd w:val="clear" w:color="auto" w:fill="E1DFDD"/>
    </w:rPr>
  </w:style>
  <w:style w:type="character" w:styleId="FollowedHyperlink">
    <w:name w:val="FollowedHyperlink"/>
    <w:basedOn w:val="DefaultParagraphFont"/>
    <w:uiPriority w:val="99"/>
    <w:semiHidden/>
    <w:unhideWhenUsed/>
    <w:rsid w:val="00A214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tc.gov/PressRoom/PressReleases/9179-26" TargetMode="External"/><Relationship Id="rId13" Type="http://schemas.openxmlformats.org/officeDocument/2006/relationships/hyperlink" Target="https://www.cftc.gov/About/AdvisoryCommittees/IAC"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harltonsquantum.com/quantum-update-65-us-cftc-withdraws-event-contracts-rule-proposal-and-staff-sports-advisory-march-2026/" TargetMode="External"/><Relationship Id="rId12" Type="http://schemas.openxmlformats.org/officeDocument/2006/relationships/hyperlink" Target="https://www.cftc.gov/PressRoom/PressReleases/9167-26" TargetMode="External"/><Relationship Id="rId17"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6" Type="http://schemas.openxmlformats.org/officeDocument/2006/relationships/hyperlink" Target="https://www.sec.gov/spotlight/regulation-s-p.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ftc.gov/PressRoom/PressReleases/9172-26" TargetMode="External"/><Relationship Id="rId5" Type="http://schemas.openxmlformats.org/officeDocument/2006/relationships/footnotes" Target="footnotes.xml"/><Relationship Id="rId15" Type="http://schemas.openxmlformats.org/officeDocument/2006/relationships/hyperlink" Target="https://www.sec.gov/newsroom/press-releases/2026-3-sec-host-hybrid-event-regulation-s-p-small-firms" TargetMode="External"/><Relationship Id="rId10" Type="http://schemas.openxmlformats.org/officeDocument/2006/relationships/hyperlink" Target="https://www.google.com/url?sa=t&amp;source=web&amp;rct=j&amp;opi=89978449&amp;url=https://www.cftc.gov/csl/25-36/download&amp;ved=2ahUKEwjv9Z678KeTAxWte2wGHfxFCSYQFnoECCEQAQ&amp;usg=AOvVaw0ajKu2SLiAbxeyxDWqRLX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ftc.gov/csl/26-04/download" TargetMode="External"/><Relationship Id="rId14" Type="http://schemas.openxmlformats.org/officeDocument/2006/relationships/hyperlink" Target="https://www.sec.gov/newsroom/press-releases/2026-4-paul-tzur-david-morrell-named-deputy-directors-division-enfor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Kumar Ishwar</dc:creator>
  <cp:keywords/>
  <dc:description/>
  <cp:lastModifiedBy>Mikhail Zavalko</cp:lastModifiedBy>
  <cp:revision>7</cp:revision>
  <dcterms:created xsi:type="dcterms:W3CDTF">2026-03-23T10:00:00Z</dcterms:created>
  <dcterms:modified xsi:type="dcterms:W3CDTF">2026-03-25T03:29:00Z</dcterms:modified>
</cp:coreProperties>
</file>