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F73FAE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B473F">
        <w:rPr>
          <w:rFonts w:ascii="Arial" w:eastAsia="Cambria" w:hAnsi="Arial" w:cs="Arial"/>
          <w:color w:val="FFFFFF"/>
        </w:rPr>
        <w:t>Dubai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77791DB3"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D9FB5C4" w14:textId="77777777" w:rsidR="001E6213" w:rsidRPr="00F35A6D" w:rsidRDefault="001E6213" w:rsidP="001E6213">
      <w:pPr>
        <w:jc w:val="center"/>
        <w:rPr>
          <w:b/>
          <w:bCs/>
          <w:color w:val="FF6E00"/>
          <w:sz w:val="40"/>
          <w:szCs w:val="40"/>
        </w:rPr>
      </w:pPr>
      <w:r w:rsidRPr="00F35A6D">
        <w:rPr>
          <w:b/>
          <w:bCs/>
          <w:color w:val="FF6E00"/>
          <w:sz w:val="40"/>
          <w:szCs w:val="40"/>
        </w:rPr>
        <w:lastRenderedPageBreak/>
        <w:t>Contents</w:t>
      </w:r>
    </w:p>
    <w:p w14:paraId="4D10F1B3" w14:textId="2F6F9749"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4937369" w:history="1">
        <w:r w:rsidRPr="00293315">
          <w:rPr>
            <w:rStyle w:val="Hyperlink"/>
            <w:noProof/>
          </w:rPr>
          <w:t>1.</w:t>
        </w:r>
        <w:r>
          <w:rPr>
            <w:rFonts w:cstheme="minorBidi"/>
            <w:b w:val="0"/>
            <w:noProof/>
            <w:kern w:val="2"/>
            <w:sz w:val="24"/>
            <w:szCs w:val="24"/>
            <w:lang w:val="en-PH" w:eastAsia="en-PH"/>
            <w14:ligatures w14:val="standardContextual"/>
          </w:rPr>
          <w:tab/>
        </w:r>
        <w:r w:rsidRPr="00293315">
          <w:rPr>
            <w:rStyle w:val="Hyperlink"/>
            <w:noProof/>
          </w:rPr>
          <w:t>Virtual asset laws and regulations in Dubai (UAE)</w:t>
        </w:r>
        <w:r>
          <w:rPr>
            <w:noProof/>
            <w:webHidden/>
          </w:rPr>
          <w:tab/>
        </w:r>
        <w:r>
          <w:rPr>
            <w:noProof/>
            <w:webHidden/>
          </w:rPr>
          <w:fldChar w:fldCharType="begin"/>
        </w:r>
        <w:r>
          <w:rPr>
            <w:noProof/>
            <w:webHidden/>
          </w:rPr>
          <w:instrText xml:space="preserve"> PAGEREF _Toc194937369 \h </w:instrText>
        </w:r>
        <w:r>
          <w:rPr>
            <w:noProof/>
            <w:webHidden/>
          </w:rPr>
        </w:r>
        <w:r>
          <w:rPr>
            <w:noProof/>
            <w:webHidden/>
          </w:rPr>
          <w:fldChar w:fldCharType="separate"/>
        </w:r>
        <w:r w:rsidR="00916426">
          <w:rPr>
            <w:noProof/>
            <w:webHidden/>
          </w:rPr>
          <w:t>3</w:t>
        </w:r>
        <w:r>
          <w:rPr>
            <w:noProof/>
            <w:webHidden/>
          </w:rPr>
          <w:fldChar w:fldCharType="end"/>
        </w:r>
      </w:hyperlink>
    </w:p>
    <w:p w14:paraId="1E154E06" w14:textId="3876A1B2" w:rsidR="001E6213" w:rsidRDefault="001E6213">
      <w:pPr>
        <w:pStyle w:val="TOC2"/>
        <w:rPr>
          <w:rFonts w:cstheme="minorBidi"/>
          <w:noProof/>
          <w:kern w:val="2"/>
          <w:sz w:val="24"/>
          <w:szCs w:val="24"/>
          <w:lang w:val="en-PH" w:eastAsia="en-PH"/>
          <w14:ligatures w14:val="standardContextual"/>
        </w:rPr>
      </w:pPr>
      <w:hyperlink w:anchor="_Toc194937370" w:history="1">
        <w:r w:rsidRPr="00293315">
          <w:rPr>
            <w:rStyle w:val="Hyperlink"/>
            <w:noProof/>
          </w:rPr>
          <w:t>What is considered a virtual asset in Dubai (UAE)?</w:t>
        </w:r>
        <w:r>
          <w:rPr>
            <w:noProof/>
            <w:webHidden/>
          </w:rPr>
          <w:tab/>
        </w:r>
        <w:r>
          <w:rPr>
            <w:noProof/>
            <w:webHidden/>
          </w:rPr>
          <w:fldChar w:fldCharType="begin"/>
        </w:r>
        <w:r>
          <w:rPr>
            <w:noProof/>
            <w:webHidden/>
          </w:rPr>
          <w:instrText xml:space="preserve"> PAGEREF _Toc194937370 \h </w:instrText>
        </w:r>
        <w:r>
          <w:rPr>
            <w:noProof/>
            <w:webHidden/>
          </w:rPr>
        </w:r>
        <w:r>
          <w:rPr>
            <w:noProof/>
            <w:webHidden/>
          </w:rPr>
          <w:fldChar w:fldCharType="separate"/>
        </w:r>
        <w:r w:rsidR="00916426">
          <w:rPr>
            <w:noProof/>
            <w:webHidden/>
          </w:rPr>
          <w:t>3</w:t>
        </w:r>
        <w:r>
          <w:rPr>
            <w:noProof/>
            <w:webHidden/>
          </w:rPr>
          <w:fldChar w:fldCharType="end"/>
        </w:r>
      </w:hyperlink>
    </w:p>
    <w:p w14:paraId="325F0888" w14:textId="3DD6DEDF" w:rsidR="001E6213" w:rsidRDefault="001E6213">
      <w:pPr>
        <w:pStyle w:val="TOC2"/>
        <w:rPr>
          <w:rFonts w:cstheme="minorBidi"/>
          <w:noProof/>
          <w:kern w:val="2"/>
          <w:sz w:val="24"/>
          <w:szCs w:val="24"/>
          <w:lang w:val="en-PH" w:eastAsia="en-PH"/>
          <w14:ligatures w14:val="standardContextual"/>
        </w:rPr>
      </w:pPr>
      <w:hyperlink w:anchor="_Toc194937371" w:history="1">
        <w:r w:rsidRPr="00293315">
          <w:rPr>
            <w:rStyle w:val="Hyperlink"/>
            <w:noProof/>
          </w:rPr>
          <w:t>What are the relevant laws and regulations in Dubai (UAE)?</w:t>
        </w:r>
        <w:r>
          <w:rPr>
            <w:noProof/>
            <w:webHidden/>
          </w:rPr>
          <w:tab/>
        </w:r>
        <w:r>
          <w:rPr>
            <w:noProof/>
            <w:webHidden/>
          </w:rPr>
          <w:fldChar w:fldCharType="begin"/>
        </w:r>
        <w:r>
          <w:rPr>
            <w:noProof/>
            <w:webHidden/>
          </w:rPr>
          <w:instrText xml:space="preserve"> PAGEREF _Toc194937371 \h </w:instrText>
        </w:r>
        <w:r>
          <w:rPr>
            <w:noProof/>
            <w:webHidden/>
          </w:rPr>
        </w:r>
        <w:r>
          <w:rPr>
            <w:noProof/>
            <w:webHidden/>
          </w:rPr>
          <w:fldChar w:fldCharType="separate"/>
        </w:r>
        <w:r w:rsidR="00916426">
          <w:rPr>
            <w:noProof/>
            <w:webHidden/>
          </w:rPr>
          <w:t>3</w:t>
        </w:r>
        <w:r>
          <w:rPr>
            <w:noProof/>
            <w:webHidden/>
          </w:rPr>
          <w:fldChar w:fldCharType="end"/>
        </w:r>
      </w:hyperlink>
    </w:p>
    <w:p w14:paraId="02D726C5" w14:textId="006CEF19" w:rsidR="001E6213" w:rsidRDefault="001E6213">
      <w:pPr>
        <w:pStyle w:val="TOC2"/>
        <w:rPr>
          <w:rFonts w:cstheme="minorBidi"/>
          <w:noProof/>
          <w:kern w:val="2"/>
          <w:sz w:val="24"/>
          <w:szCs w:val="24"/>
          <w:lang w:val="en-PH" w:eastAsia="en-PH"/>
          <w14:ligatures w14:val="standardContextual"/>
        </w:rPr>
      </w:pPr>
      <w:hyperlink w:anchor="_Toc194937372" w:history="1">
        <w:r w:rsidRPr="00293315">
          <w:rPr>
            <w:rStyle w:val="Hyperlink"/>
            <w:noProof/>
          </w:rPr>
          <w:t>Who do such laws and regulations apply to?</w:t>
        </w:r>
        <w:r>
          <w:rPr>
            <w:noProof/>
            <w:webHidden/>
          </w:rPr>
          <w:tab/>
        </w:r>
        <w:r>
          <w:rPr>
            <w:noProof/>
            <w:webHidden/>
          </w:rPr>
          <w:fldChar w:fldCharType="begin"/>
        </w:r>
        <w:r>
          <w:rPr>
            <w:noProof/>
            <w:webHidden/>
          </w:rPr>
          <w:instrText xml:space="preserve"> PAGEREF _Toc194937372 \h </w:instrText>
        </w:r>
        <w:r>
          <w:rPr>
            <w:noProof/>
            <w:webHidden/>
          </w:rPr>
        </w:r>
        <w:r>
          <w:rPr>
            <w:noProof/>
            <w:webHidden/>
          </w:rPr>
          <w:fldChar w:fldCharType="separate"/>
        </w:r>
        <w:r w:rsidR="00916426">
          <w:rPr>
            <w:noProof/>
            <w:webHidden/>
          </w:rPr>
          <w:t>7</w:t>
        </w:r>
        <w:r>
          <w:rPr>
            <w:noProof/>
            <w:webHidden/>
          </w:rPr>
          <w:fldChar w:fldCharType="end"/>
        </w:r>
      </w:hyperlink>
    </w:p>
    <w:p w14:paraId="12F7137C" w14:textId="0AC1DE5B" w:rsidR="001E6213" w:rsidRDefault="001E6213">
      <w:pPr>
        <w:pStyle w:val="TOC2"/>
        <w:rPr>
          <w:rFonts w:cstheme="minorBidi"/>
          <w:noProof/>
          <w:kern w:val="2"/>
          <w:sz w:val="24"/>
          <w:szCs w:val="24"/>
          <w:lang w:val="en-PH" w:eastAsia="en-PH"/>
          <w14:ligatures w14:val="standardContextual"/>
        </w:rPr>
      </w:pPr>
      <w:hyperlink w:anchor="_Toc194937373" w:history="1">
        <w:r w:rsidRPr="00293315">
          <w:rPr>
            <w:rStyle w:val="Hyperlink"/>
            <w:noProof/>
          </w:rPr>
          <w:t>Who are the relevant regulatory authorities in relation to virtual assets in Dubai (UAE)?</w:t>
        </w:r>
        <w:r>
          <w:rPr>
            <w:noProof/>
            <w:webHidden/>
          </w:rPr>
          <w:tab/>
        </w:r>
        <w:r>
          <w:rPr>
            <w:noProof/>
            <w:webHidden/>
          </w:rPr>
          <w:fldChar w:fldCharType="begin"/>
        </w:r>
        <w:r>
          <w:rPr>
            <w:noProof/>
            <w:webHidden/>
          </w:rPr>
          <w:instrText xml:space="preserve"> PAGEREF _Toc194937373 \h </w:instrText>
        </w:r>
        <w:r>
          <w:rPr>
            <w:noProof/>
            <w:webHidden/>
          </w:rPr>
        </w:r>
        <w:r>
          <w:rPr>
            <w:noProof/>
            <w:webHidden/>
          </w:rPr>
          <w:fldChar w:fldCharType="separate"/>
        </w:r>
        <w:r w:rsidR="00916426">
          <w:rPr>
            <w:noProof/>
            <w:webHidden/>
          </w:rPr>
          <w:t>7</w:t>
        </w:r>
        <w:r>
          <w:rPr>
            <w:noProof/>
            <w:webHidden/>
          </w:rPr>
          <w:fldChar w:fldCharType="end"/>
        </w:r>
      </w:hyperlink>
    </w:p>
    <w:p w14:paraId="2BB32D34" w14:textId="74A1D52B" w:rsidR="001E6213" w:rsidRDefault="001E6213">
      <w:pPr>
        <w:pStyle w:val="TOC2"/>
        <w:rPr>
          <w:rFonts w:cstheme="minorBidi"/>
          <w:noProof/>
          <w:kern w:val="2"/>
          <w:sz w:val="24"/>
          <w:szCs w:val="24"/>
          <w:lang w:val="en-PH" w:eastAsia="en-PH"/>
          <w14:ligatures w14:val="standardContextual"/>
        </w:rPr>
      </w:pPr>
      <w:hyperlink w:anchor="_Toc194937374" w:history="1">
        <w:r w:rsidRPr="00293315">
          <w:rPr>
            <w:rStyle w:val="Hyperlink"/>
            <w:noProof/>
          </w:rPr>
          <w:t>What are the penalties for breaches of virtual asset laws and regulations in Dubai (UAE)?</w:t>
        </w:r>
        <w:r>
          <w:rPr>
            <w:noProof/>
            <w:webHidden/>
          </w:rPr>
          <w:tab/>
        </w:r>
        <w:r>
          <w:rPr>
            <w:noProof/>
            <w:webHidden/>
          </w:rPr>
          <w:fldChar w:fldCharType="begin"/>
        </w:r>
        <w:r>
          <w:rPr>
            <w:noProof/>
            <w:webHidden/>
          </w:rPr>
          <w:instrText xml:space="preserve"> PAGEREF _Toc194937374 \h </w:instrText>
        </w:r>
        <w:r>
          <w:rPr>
            <w:noProof/>
            <w:webHidden/>
          </w:rPr>
        </w:r>
        <w:r>
          <w:rPr>
            <w:noProof/>
            <w:webHidden/>
          </w:rPr>
          <w:fldChar w:fldCharType="separate"/>
        </w:r>
        <w:r w:rsidR="00916426">
          <w:rPr>
            <w:noProof/>
            <w:webHidden/>
          </w:rPr>
          <w:t>8</w:t>
        </w:r>
        <w:r>
          <w:rPr>
            <w:noProof/>
            <w:webHidden/>
          </w:rPr>
          <w:fldChar w:fldCharType="end"/>
        </w:r>
      </w:hyperlink>
    </w:p>
    <w:p w14:paraId="13D9F45E" w14:textId="63786AFE"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75" w:history="1">
        <w:r w:rsidRPr="00293315">
          <w:rPr>
            <w:rStyle w:val="Hyperlink"/>
            <w:noProof/>
          </w:rPr>
          <w:t>2.</w:t>
        </w:r>
        <w:r>
          <w:rPr>
            <w:rFonts w:cstheme="minorBidi"/>
            <w:b w:val="0"/>
            <w:noProof/>
            <w:kern w:val="2"/>
            <w:sz w:val="24"/>
            <w:szCs w:val="24"/>
            <w:lang w:val="en-PH" w:eastAsia="en-PH"/>
            <w14:ligatures w14:val="standardContextual"/>
          </w:rPr>
          <w:tab/>
        </w:r>
        <w:r w:rsidRPr="00293315">
          <w:rPr>
            <w:rStyle w:val="Hyperlink"/>
            <w:noProof/>
          </w:rPr>
          <w:t>Regulation of virtual assets and offerings of virtual assets in Dubai (UAE)</w:t>
        </w:r>
        <w:r>
          <w:rPr>
            <w:noProof/>
            <w:webHidden/>
          </w:rPr>
          <w:tab/>
        </w:r>
        <w:r>
          <w:rPr>
            <w:noProof/>
            <w:webHidden/>
          </w:rPr>
          <w:fldChar w:fldCharType="begin"/>
        </w:r>
        <w:r>
          <w:rPr>
            <w:noProof/>
            <w:webHidden/>
          </w:rPr>
          <w:instrText xml:space="preserve"> PAGEREF _Toc194937375 \h </w:instrText>
        </w:r>
        <w:r>
          <w:rPr>
            <w:noProof/>
            <w:webHidden/>
          </w:rPr>
        </w:r>
        <w:r>
          <w:rPr>
            <w:noProof/>
            <w:webHidden/>
          </w:rPr>
          <w:fldChar w:fldCharType="separate"/>
        </w:r>
        <w:r w:rsidR="00916426">
          <w:rPr>
            <w:noProof/>
            <w:webHidden/>
          </w:rPr>
          <w:t>9</w:t>
        </w:r>
        <w:r>
          <w:rPr>
            <w:noProof/>
            <w:webHidden/>
          </w:rPr>
          <w:fldChar w:fldCharType="end"/>
        </w:r>
      </w:hyperlink>
    </w:p>
    <w:p w14:paraId="2B8070C6" w14:textId="306B2C01" w:rsidR="001E6213" w:rsidRDefault="001E6213">
      <w:pPr>
        <w:pStyle w:val="TOC2"/>
        <w:rPr>
          <w:rFonts w:cstheme="minorBidi"/>
          <w:noProof/>
          <w:kern w:val="2"/>
          <w:sz w:val="24"/>
          <w:szCs w:val="24"/>
          <w:lang w:val="en-PH" w:eastAsia="en-PH"/>
          <w14:ligatures w14:val="standardContextual"/>
        </w:rPr>
      </w:pPr>
      <w:hyperlink w:anchor="_Toc194937376" w:history="1">
        <w:r w:rsidRPr="00293315">
          <w:rPr>
            <w:rStyle w:val="Hyperlink"/>
            <w:noProof/>
          </w:rPr>
          <w:t>Are virtual assets classified as ‘securities’ or other regulated financial instruments in Dubai (UAE)?</w:t>
        </w:r>
        <w:r>
          <w:rPr>
            <w:noProof/>
            <w:webHidden/>
          </w:rPr>
          <w:tab/>
        </w:r>
        <w:r>
          <w:rPr>
            <w:noProof/>
            <w:webHidden/>
          </w:rPr>
          <w:fldChar w:fldCharType="begin"/>
        </w:r>
        <w:r>
          <w:rPr>
            <w:noProof/>
            <w:webHidden/>
          </w:rPr>
          <w:instrText xml:space="preserve"> PAGEREF _Toc194937376 \h </w:instrText>
        </w:r>
        <w:r>
          <w:rPr>
            <w:noProof/>
            <w:webHidden/>
          </w:rPr>
        </w:r>
        <w:r>
          <w:rPr>
            <w:noProof/>
            <w:webHidden/>
          </w:rPr>
          <w:fldChar w:fldCharType="separate"/>
        </w:r>
        <w:r w:rsidR="00916426">
          <w:rPr>
            <w:noProof/>
            <w:webHidden/>
          </w:rPr>
          <w:t>9</w:t>
        </w:r>
        <w:r>
          <w:rPr>
            <w:noProof/>
            <w:webHidden/>
          </w:rPr>
          <w:fldChar w:fldCharType="end"/>
        </w:r>
      </w:hyperlink>
    </w:p>
    <w:p w14:paraId="79731F5D" w14:textId="49261E48" w:rsidR="001E6213" w:rsidRDefault="001E6213">
      <w:pPr>
        <w:pStyle w:val="TOC2"/>
        <w:rPr>
          <w:rFonts w:cstheme="minorBidi"/>
          <w:noProof/>
          <w:kern w:val="2"/>
          <w:sz w:val="24"/>
          <w:szCs w:val="24"/>
          <w:lang w:val="en-PH" w:eastAsia="en-PH"/>
          <w14:ligatures w14:val="standardContextual"/>
        </w:rPr>
      </w:pPr>
      <w:hyperlink w:anchor="_Toc194937377" w:history="1">
        <w:r w:rsidRPr="00293315">
          <w:rPr>
            <w:rStyle w:val="Hyperlink"/>
            <w:noProof/>
          </w:rPr>
          <w:t>Are stablecoins and NFTs regulated in Dubai (UAE)?</w:t>
        </w:r>
        <w:r>
          <w:rPr>
            <w:noProof/>
            <w:webHidden/>
          </w:rPr>
          <w:tab/>
        </w:r>
        <w:r>
          <w:rPr>
            <w:noProof/>
            <w:webHidden/>
          </w:rPr>
          <w:fldChar w:fldCharType="begin"/>
        </w:r>
        <w:r>
          <w:rPr>
            <w:noProof/>
            <w:webHidden/>
          </w:rPr>
          <w:instrText xml:space="preserve"> PAGEREF _Toc194937377 \h </w:instrText>
        </w:r>
        <w:r>
          <w:rPr>
            <w:noProof/>
            <w:webHidden/>
          </w:rPr>
        </w:r>
        <w:r>
          <w:rPr>
            <w:noProof/>
            <w:webHidden/>
          </w:rPr>
          <w:fldChar w:fldCharType="separate"/>
        </w:r>
        <w:r w:rsidR="00916426">
          <w:rPr>
            <w:noProof/>
            <w:webHidden/>
          </w:rPr>
          <w:t>9</w:t>
        </w:r>
        <w:r>
          <w:rPr>
            <w:noProof/>
            <w:webHidden/>
          </w:rPr>
          <w:fldChar w:fldCharType="end"/>
        </w:r>
      </w:hyperlink>
    </w:p>
    <w:p w14:paraId="50871EE8" w14:textId="07EDBA99" w:rsidR="001E6213" w:rsidRDefault="001E6213">
      <w:pPr>
        <w:pStyle w:val="TOC2"/>
        <w:rPr>
          <w:rFonts w:cstheme="minorBidi"/>
          <w:noProof/>
          <w:kern w:val="2"/>
          <w:sz w:val="24"/>
          <w:szCs w:val="24"/>
          <w:lang w:val="en-PH" w:eastAsia="en-PH"/>
          <w14:ligatures w14:val="standardContextual"/>
        </w:rPr>
      </w:pPr>
      <w:hyperlink w:anchor="_Toc194937378" w:history="1">
        <w:r w:rsidRPr="00293315">
          <w:rPr>
            <w:rStyle w:val="Hyperlink"/>
            <w:noProof/>
          </w:rPr>
          <w:t>Are decentralised finance (DeFi) activities (e.g. lending virtual assets) regulated in Dubai (UAE)?</w:t>
        </w:r>
        <w:r>
          <w:rPr>
            <w:noProof/>
            <w:webHidden/>
          </w:rPr>
          <w:tab/>
        </w:r>
        <w:r>
          <w:rPr>
            <w:noProof/>
            <w:webHidden/>
          </w:rPr>
          <w:fldChar w:fldCharType="begin"/>
        </w:r>
        <w:r>
          <w:rPr>
            <w:noProof/>
            <w:webHidden/>
          </w:rPr>
          <w:instrText xml:space="preserve"> PAGEREF _Toc194937378 \h </w:instrText>
        </w:r>
        <w:r>
          <w:rPr>
            <w:noProof/>
            <w:webHidden/>
          </w:rPr>
        </w:r>
        <w:r>
          <w:rPr>
            <w:noProof/>
            <w:webHidden/>
          </w:rPr>
          <w:fldChar w:fldCharType="separate"/>
        </w:r>
        <w:r w:rsidR="00916426">
          <w:rPr>
            <w:noProof/>
            <w:webHidden/>
          </w:rPr>
          <w:t>11</w:t>
        </w:r>
        <w:r>
          <w:rPr>
            <w:noProof/>
            <w:webHidden/>
          </w:rPr>
          <w:fldChar w:fldCharType="end"/>
        </w:r>
      </w:hyperlink>
    </w:p>
    <w:p w14:paraId="6AB98850" w14:textId="54F117DF" w:rsidR="001E6213" w:rsidRDefault="001E6213">
      <w:pPr>
        <w:pStyle w:val="TOC2"/>
        <w:rPr>
          <w:rFonts w:cstheme="minorBidi"/>
          <w:noProof/>
          <w:kern w:val="2"/>
          <w:sz w:val="24"/>
          <w:szCs w:val="24"/>
          <w:lang w:val="en-PH" w:eastAsia="en-PH"/>
          <w14:ligatures w14:val="standardContextual"/>
        </w:rPr>
      </w:pPr>
      <w:hyperlink w:anchor="_Toc194937379" w:history="1">
        <w:r w:rsidRPr="00293315">
          <w:rPr>
            <w:rStyle w:val="Hyperlink"/>
            <w:noProof/>
          </w:rPr>
          <w:t>Are there any restrictions on issuing or publicly offering virtual assets in Dubai (UAE)?</w:t>
        </w:r>
        <w:r>
          <w:rPr>
            <w:noProof/>
            <w:webHidden/>
          </w:rPr>
          <w:tab/>
        </w:r>
        <w:r>
          <w:rPr>
            <w:noProof/>
            <w:webHidden/>
          </w:rPr>
          <w:fldChar w:fldCharType="begin"/>
        </w:r>
        <w:r>
          <w:rPr>
            <w:noProof/>
            <w:webHidden/>
          </w:rPr>
          <w:instrText xml:space="preserve"> PAGEREF _Toc194937379 \h </w:instrText>
        </w:r>
        <w:r>
          <w:rPr>
            <w:noProof/>
            <w:webHidden/>
          </w:rPr>
        </w:r>
        <w:r>
          <w:rPr>
            <w:noProof/>
            <w:webHidden/>
          </w:rPr>
          <w:fldChar w:fldCharType="separate"/>
        </w:r>
        <w:r w:rsidR="00916426">
          <w:rPr>
            <w:noProof/>
            <w:webHidden/>
          </w:rPr>
          <w:t>11</w:t>
        </w:r>
        <w:r>
          <w:rPr>
            <w:noProof/>
            <w:webHidden/>
          </w:rPr>
          <w:fldChar w:fldCharType="end"/>
        </w:r>
      </w:hyperlink>
    </w:p>
    <w:p w14:paraId="6AAF63B0" w14:textId="1ECBE942" w:rsidR="001E6213" w:rsidRDefault="001E6213">
      <w:pPr>
        <w:pStyle w:val="TOC2"/>
        <w:rPr>
          <w:rFonts w:cstheme="minorBidi"/>
          <w:noProof/>
          <w:kern w:val="2"/>
          <w:sz w:val="24"/>
          <w:szCs w:val="24"/>
          <w:lang w:val="en-PH" w:eastAsia="en-PH"/>
          <w14:ligatures w14:val="standardContextual"/>
        </w:rPr>
      </w:pPr>
      <w:hyperlink w:anchor="_Toc194937380" w:history="1">
        <w:r w:rsidRPr="00293315">
          <w:rPr>
            <w:rStyle w:val="Hyperlink"/>
            <w:noProof/>
          </w:rPr>
          <w:t>Are there any exemptions to the restrictions on issuing or publicly offering of virtual assets in Dubai (UAE)?</w:t>
        </w:r>
        <w:r>
          <w:rPr>
            <w:noProof/>
            <w:webHidden/>
          </w:rPr>
          <w:tab/>
        </w:r>
        <w:r>
          <w:rPr>
            <w:noProof/>
            <w:webHidden/>
          </w:rPr>
          <w:fldChar w:fldCharType="begin"/>
        </w:r>
        <w:r>
          <w:rPr>
            <w:noProof/>
            <w:webHidden/>
          </w:rPr>
          <w:instrText xml:space="preserve"> PAGEREF _Toc194937380 \h </w:instrText>
        </w:r>
        <w:r>
          <w:rPr>
            <w:noProof/>
            <w:webHidden/>
          </w:rPr>
        </w:r>
        <w:r>
          <w:rPr>
            <w:noProof/>
            <w:webHidden/>
          </w:rPr>
          <w:fldChar w:fldCharType="separate"/>
        </w:r>
        <w:r w:rsidR="00916426">
          <w:rPr>
            <w:noProof/>
            <w:webHidden/>
          </w:rPr>
          <w:t>12</w:t>
        </w:r>
        <w:r>
          <w:rPr>
            <w:noProof/>
            <w:webHidden/>
          </w:rPr>
          <w:fldChar w:fldCharType="end"/>
        </w:r>
      </w:hyperlink>
    </w:p>
    <w:p w14:paraId="65905617" w14:textId="5A5B85D4"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81" w:history="1">
        <w:r w:rsidRPr="00293315">
          <w:rPr>
            <w:rStyle w:val="Hyperlink"/>
            <w:noProof/>
          </w:rPr>
          <w:t>3.</w:t>
        </w:r>
        <w:r>
          <w:rPr>
            <w:rFonts w:cstheme="minorBidi"/>
            <w:b w:val="0"/>
            <w:noProof/>
            <w:kern w:val="2"/>
            <w:sz w:val="24"/>
            <w:szCs w:val="24"/>
            <w:lang w:val="en-PH" w:eastAsia="en-PH"/>
            <w14:ligatures w14:val="standardContextual"/>
          </w:rPr>
          <w:tab/>
        </w:r>
        <w:r w:rsidRPr="00293315">
          <w:rPr>
            <w:rStyle w:val="Hyperlink"/>
            <w:noProof/>
          </w:rPr>
          <w:t>Regulation of VASPs in Dubai (UAE)</w:t>
        </w:r>
        <w:r>
          <w:rPr>
            <w:noProof/>
            <w:webHidden/>
          </w:rPr>
          <w:tab/>
        </w:r>
        <w:r>
          <w:rPr>
            <w:noProof/>
            <w:webHidden/>
          </w:rPr>
          <w:fldChar w:fldCharType="begin"/>
        </w:r>
        <w:r>
          <w:rPr>
            <w:noProof/>
            <w:webHidden/>
          </w:rPr>
          <w:instrText xml:space="preserve"> PAGEREF _Toc194937381 \h </w:instrText>
        </w:r>
        <w:r>
          <w:rPr>
            <w:noProof/>
            <w:webHidden/>
          </w:rPr>
        </w:r>
        <w:r>
          <w:rPr>
            <w:noProof/>
            <w:webHidden/>
          </w:rPr>
          <w:fldChar w:fldCharType="separate"/>
        </w:r>
        <w:r w:rsidR="00916426">
          <w:rPr>
            <w:noProof/>
            <w:webHidden/>
          </w:rPr>
          <w:t>13</w:t>
        </w:r>
        <w:r>
          <w:rPr>
            <w:noProof/>
            <w:webHidden/>
          </w:rPr>
          <w:fldChar w:fldCharType="end"/>
        </w:r>
      </w:hyperlink>
    </w:p>
    <w:p w14:paraId="6D43938F" w14:textId="11F9C963" w:rsidR="001E6213" w:rsidRDefault="001E6213">
      <w:pPr>
        <w:pStyle w:val="TOC2"/>
        <w:rPr>
          <w:rFonts w:cstheme="minorBidi"/>
          <w:noProof/>
          <w:kern w:val="2"/>
          <w:sz w:val="24"/>
          <w:szCs w:val="24"/>
          <w:lang w:val="en-PH" w:eastAsia="en-PH"/>
          <w14:ligatures w14:val="standardContextual"/>
        </w:rPr>
      </w:pPr>
      <w:hyperlink w:anchor="_Toc194937382" w:history="1">
        <w:r w:rsidRPr="00293315">
          <w:rPr>
            <w:rStyle w:val="Hyperlink"/>
            <w:noProof/>
          </w:rPr>
          <w:t>Are VASPs operating in Dubai (UAE) subject to regulation?</w:t>
        </w:r>
        <w:r>
          <w:rPr>
            <w:noProof/>
            <w:webHidden/>
          </w:rPr>
          <w:tab/>
        </w:r>
        <w:r>
          <w:rPr>
            <w:noProof/>
            <w:webHidden/>
          </w:rPr>
          <w:fldChar w:fldCharType="begin"/>
        </w:r>
        <w:r>
          <w:rPr>
            <w:noProof/>
            <w:webHidden/>
          </w:rPr>
          <w:instrText xml:space="preserve"> PAGEREF _Toc194937382 \h </w:instrText>
        </w:r>
        <w:r>
          <w:rPr>
            <w:noProof/>
            <w:webHidden/>
          </w:rPr>
        </w:r>
        <w:r>
          <w:rPr>
            <w:noProof/>
            <w:webHidden/>
          </w:rPr>
          <w:fldChar w:fldCharType="separate"/>
        </w:r>
        <w:r w:rsidR="00916426">
          <w:rPr>
            <w:noProof/>
            <w:webHidden/>
          </w:rPr>
          <w:t>13</w:t>
        </w:r>
        <w:r>
          <w:rPr>
            <w:noProof/>
            <w:webHidden/>
          </w:rPr>
          <w:fldChar w:fldCharType="end"/>
        </w:r>
      </w:hyperlink>
    </w:p>
    <w:p w14:paraId="5480C1AB" w14:textId="2EB169D6" w:rsidR="001E6213" w:rsidRDefault="001E6213">
      <w:pPr>
        <w:pStyle w:val="TOC2"/>
        <w:rPr>
          <w:rFonts w:cstheme="minorBidi"/>
          <w:noProof/>
          <w:kern w:val="2"/>
          <w:sz w:val="24"/>
          <w:szCs w:val="24"/>
          <w:lang w:val="en-PH" w:eastAsia="en-PH"/>
          <w14:ligatures w14:val="standardContextual"/>
        </w:rPr>
      </w:pPr>
      <w:hyperlink w:anchor="_Toc194937383" w:history="1">
        <w:r w:rsidRPr="00293315">
          <w:rPr>
            <w:rStyle w:val="Hyperlink"/>
            <w:noProof/>
          </w:rPr>
          <w:t>Are VASPs providing virtual asset services from offshore to persons in Dubai (UAE) subject to regulation in Dubai (UAE)?</w:t>
        </w:r>
        <w:r>
          <w:rPr>
            <w:noProof/>
            <w:webHidden/>
          </w:rPr>
          <w:tab/>
        </w:r>
        <w:r>
          <w:rPr>
            <w:noProof/>
            <w:webHidden/>
          </w:rPr>
          <w:fldChar w:fldCharType="begin"/>
        </w:r>
        <w:r>
          <w:rPr>
            <w:noProof/>
            <w:webHidden/>
          </w:rPr>
          <w:instrText xml:space="preserve"> PAGEREF _Toc194937383 \h </w:instrText>
        </w:r>
        <w:r>
          <w:rPr>
            <w:noProof/>
            <w:webHidden/>
          </w:rPr>
        </w:r>
        <w:r>
          <w:rPr>
            <w:noProof/>
            <w:webHidden/>
          </w:rPr>
          <w:fldChar w:fldCharType="separate"/>
        </w:r>
        <w:r w:rsidR="00916426">
          <w:rPr>
            <w:noProof/>
            <w:webHidden/>
          </w:rPr>
          <w:t>14</w:t>
        </w:r>
        <w:r>
          <w:rPr>
            <w:noProof/>
            <w:webHidden/>
          </w:rPr>
          <w:fldChar w:fldCharType="end"/>
        </w:r>
      </w:hyperlink>
    </w:p>
    <w:p w14:paraId="6A92AC8A" w14:textId="63B21138" w:rsidR="001E6213" w:rsidRDefault="001E6213">
      <w:pPr>
        <w:pStyle w:val="TOC2"/>
        <w:rPr>
          <w:rFonts w:cstheme="minorBidi"/>
          <w:noProof/>
          <w:kern w:val="2"/>
          <w:sz w:val="24"/>
          <w:szCs w:val="24"/>
          <w:lang w:val="en-PH" w:eastAsia="en-PH"/>
          <w14:ligatures w14:val="standardContextual"/>
        </w:rPr>
      </w:pPr>
      <w:hyperlink w:anchor="_Toc194937384" w:history="1">
        <w:r w:rsidRPr="00293315">
          <w:rPr>
            <w:rStyle w:val="Hyperlink"/>
            <w:noProof/>
          </w:rPr>
          <w:t>What are the main requirements for obtaining licensing / registration as a VASP in Dubai (UAE)?</w:t>
        </w:r>
        <w:r>
          <w:rPr>
            <w:noProof/>
            <w:webHidden/>
          </w:rPr>
          <w:tab/>
        </w:r>
        <w:r>
          <w:rPr>
            <w:noProof/>
            <w:webHidden/>
          </w:rPr>
          <w:fldChar w:fldCharType="begin"/>
        </w:r>
        <w:r>
          <w:rPr>
            <w:noProof/>
            <w:webHidden/>
          </w:rPr>
          <w:instrText xml:space="preserve"> PAGEREF _Toc194937384 \h </w:instrText>
        </w:r>
        <w:r>
          <w:rPr>
            <w:noProof/>
            <w:webHidden/>
          </w:rPr>
        </w:r>
        <w:r>
          <w:rPr>
            <w:noProof/>
            <w:webHidden/>
          </w:rPr>
          <w:fldChar w:fldCharType="separate"/>
        </w:r>
        <w:r w:rsidR="00916426">
          <w:rPr>
            <w:noProof/>
            <w:webHidden/>
          </w:rPr>
          <w:t>14</w:t>
        </w:r>
        <w:r>
          <w:rPr>
            <w:noProof/>
            <w:webHidden/>
          </w:rPr>
          <w:fldChar w:fldCharType="end"/>
        </w:r>
      </w:hyperlink>
    </w:p>
    <w:p w14:paraId="17F207CC" w14:textId="5E8F97B3" w:rsidR="001E6213" w:rsidRDefault="001E6213">
      <w:pPr>
        <w:pStyle w:val="TOC2"/>
        <w:rPr>
          <w:rFonts w:cstheme="minorBidi"/>
          <w:noProof/>
          <w:kern w:val="2"/>
          <w:sz w:val="24"/>
          <w:szCs w:val="24"/>
          <w:lang w:val="en-PH" w:eastAsia="en-PH"/>
          <w14:ligatures w14:val="standardContextual"/>
        </w:rPr>
      </w:pPr>
      <w:hyperlink w:anchor="_Toc194937385" w:history="1">
        <w:r w:rsidRPr="00293315">
          <w:rPr>
            <w:rStyle w:val="Hyperlink"/>
            <w:noProof/>
          </w:rPr>
          <w:t>What are the main ongoing requirements for VASPs regulated in Dubai (UAE)?</w:t>
        </w:r>
        <w:r>
          <w:rPr>
            <w:noProof/>
            <w:webHidden/>
          </w:rPr>
          <w:tab/>
        </w:r>
        <w:r>
          <w:rPr>
            <w:noProof/>
            <w:webHidden/>
          </w:rPr>
          <w:fldChar w:fldCharType="begin"/>
        </w:r>
        <w:r>
          <w:rPr>
            <w:noProof/>
            <w:webHidden/>
          </w:rPr>
          <w:instrText xml:space="preserve"> PAGEREF _Toc194937385 \h </w:instrText>
        </w:r>
        <w:r>
          <w:rPr>
            <w:noProof/>
            <w:webHidden/>
          </w:rPr>
        </w:r>
        <w:r>
          <w:rPr>
            <w:noProof/>
            <w:webHidden/>
          </w:rPr>
          <w:fldChar w:fldCharType="separate"/>
        </w:r>
        <w:r w:rsidR="00916426">
          <w:rPr>
            <w:noProof/>
            <w:webHidden/>
          </w:rPr>
          <w:t>17</w:t>
        </w:r>
        <w:r>
          <w:rPr>
            <w:noProof/>
            <w:webHidden/>
          </w:rPr>
          <w:fldChar w:fldCharType="end"/>
        </w:r>
      </w:hyperlink>
    </w:p>
    <w:p w14:paraId="3B21D289" w14:textId="5B365D92" w:rsidR="001E6213" w:rsidRDefault="001E6213">
      <w:pPr>
        <w:pStyle w:val="TOC2"/>
        <w:rPr>
          <w:rFonts w:cstheme="minorBidi"/>
          <w:noProof/>
          <w:kern w:val="2"/>
          <w:sz w:val="24"/>
          <w:szCs w:val="24"/>
          <w:lang w:val="en-PH" w:eastAsia="en-PH"/>
          <w14:ligatures w14:val="standardContextual"/>
        </w:rPr>
      </w:pPr>
      <w:hyperlink w:anchor="_Toc194937386" w:history="1">
        <w:r w:rsidRPr="00293315">
          <w:rPr>
            <w:rStyle w:val="Hyperlink"/>
            <w:noProof/>
          </w:rPr>
          <w:t>What are the main restrictions on VASPs in Dubai (UAE)?</w:t>
        </w:r>
        <w:r>
          <w:rPr>
            <w:noProof/>
            <w:webHidden/>
          </w:rPr>
          <w:tab/>
        </w:r>
        <w:r>
          <w:rPr>
            <w:noProof/>
            <w:webHidden/>
          </w:rPr>
          <w:fldChar w:fldCharType="begin"/>
        </w:r>
        <w:r>
          <w:rPr>
            <w:noProof/>
            <w:webHidden/>
          </w:rPr>
          <w:instrText xml:space="preserve"> PAGEREF _Toc194937386 \h </w:instrText>
        </w:r>
        <w:r>
          <w:rPr>
            <w:noProof/>
            <w:webHidden/>
          </w:rPr>
        </w:r>
        <w:r>
          <w:rPr>
            <w:noProof/>
            <w:webHidden/>
          </w:rPr>
          <w:fldChar w:fldCharType="separate"/>
        </w:r>
        <w:r w:rsidR="00916426">
          <w:rPr>
            <w:noProof/>
            <w:webHidden/>
          </w:rPr>
          <w:t>19</w:t>
        </w:r>
        <w:r>
          <w:rPr>
            <w:noProof/>
            <w:webHidden/>
          </w:rPr>
          <w:fldChar w:fldCharType="end"/>
        </w:r>
      </w:hyperlink>
    </w:p>
    <w:p w14:paraId="1B9698CE" w14:textId="7E9EC53E" w:rsidR="001E6213" w:rsidRDefault="001E6213">
      <w:pPr>
        <w:pStyle w:val="TOC2"/>
        <w:rPr>
          <w:rFonts w:cstheme="minorBidi"/>
          <w:noProof/>
          <w:kern w:val="2"/>
          <w:sz w:val="24"/>
          <w:szCs w:val="24"/>
          <w:lang w:val="en-PH" w:eastAsia="en-PH"/>
          <w14:ligatures w14:val="standardContextual"/>
        </w:rPr>
      </w:pPr>
      <w:hyperlink w:anchor="_Toc194937387" w:history="1">
        <w:r w:rsidRPr="00293315">
          <w:rPr>
            <w:rStyle w:val="Hyperlink"/>
            <w:noProof/>
          </w:rPr>
          <w:t>What is the main information that regulated virtual asset trading platforms have to make available to its customers?</w:t>
        </w:r>
        <w:r>
          <w:rPr>
            <w:noProof/>
            <w:webHidden/>
          </w:rPr>
          <w:tab/>
        </w:r>
        <w:r>
          <w:rPr>
            <w:noProof/>
            <w:webHidden/>
          </w:rPr>
          <w:fldChar w:fldCharType="begin"/>
        </w:r>
        <w:r>
          <w:rPr>
            <w:noProof/>
            <w:webHidden/>
          </w:rPr>
          <w:instrText xml:space="preserve"> PAGEREF _Toc194937387 \h </w:instrText>
        </w:r>
        <w:r>
          <w:rPr>
            <w:noProof/>
            <w:webHidden/>
          </w:rPr>
        </w:r>
        <w:r>
          <w:rPr>
            <w:noProof/>
            <w:webHidden/>
          </w:rPr>
          <w:fldChar w:fldCharType="separate"/>
        </w:r>
        <w:r w:rsidR="00916426">
          <w:rPr>
            <w:noProof/>
            <w:webHidden/>
          </w:rPr>
          <w:t>19</w:t>
        </w:r>
        <w:r>
          <w:rPr>
            <w:noProof/>
            <w:webHidden/>
          </w:rPr>
          <w:fldChar w:fldCharType="end"/>
        </w:r>
      </w:hyperlink>
    </w:p>
    <w:p w14:paraId="7B70D1CD" w14:textId="35F6A10A" w:rsidR="001E6213" w:rsidRDefault="001E6213">
      <w:pPr>
        <w:pStyle w:val="TOC2"/>
        <w:rPr>
          <w:rFonts w:cstheme="minorBidi"/>
          <w:noProof/>
          <w:kern w:val="2"/>
          <w:sz w:val="24"/>
          <w:szCs w:val="24"/>
          <w:lang w:val="en-PH" w:eastAsia="en-PH"/>
          <w14:ligatures w14:val="standardContextual"/>
        </w:rPr>
      </w:pPr>
      <w:hyperlink w:anchor="_Toc194937388" w:history="1">
        <w:r w:rsidRPr="00293315">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_Toc194937388 \h </w:instrText>
        </w:r>
        <w:r>
          <w:rPr>
            <w:noProof/>
            <w:webHidden/>
          </w:rPr>
        </w:r>
        <w:r>
          <w:rPr>
            <w:noProof/>
            <w:webHidden/>
          </w:rPr>
          <w:fldChar w:fldCharType="separate"/>
        </w:r>
        <w:r w:rsidR="00916426">
          <w:rPr>
            <w:noProof/>
            <w:webHidden/>
          </w:rPr>
          <w:t>20</w:t>
        </w:r>
        <w:r>
          <w:rPr>
            <w:noProof/>
            <w:webHidden/>
          </w:rPr>
          <w:fldChar w:fldCharType="end"/>
        </w:r>
      </w:hyperlink>
    </w:p>
    <w:p w14:paraId="322DA3CE" w14:textId="41DA4A95"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89" w:history="1">
        <w:r w:rsidRPr="00293315">
          <w:rPr>
            <w:rStyle w:val="Hyperlink"/>
            <w:bCs/>
            <w:noProof/>
          </w:rPr>
          <w:t>4.</w:t>
        </w:r>
        <w:r>
          <w:rPr>
            <w:rFonts w:cstheme="minorBidi"/>
            <w:b w:val="0"/>
            <w:noProof/>
            <w:kern w:val="2"/>
            <w:sz w:val="24"/>
            <w:szCs w:val="24"/>
            <w:lang w:val="en-PH" w:eastAsia="en-PH"/>
            <w14:ligatures w14:val="standardContextual"/>
          </w:rPr>
          <w:tab/>
        </w:r>
        <w:r w:rsidRPr="00293315">
          <w:rPr>
            <w:rStyle w:val="Hyperlink"/>
            <w:noProof/>
          </w:rPr>
          <w:t>Regulation of other crypto-related activities in Dubai (UAE)</w:t>
        </w:r>
        <w:r>
          <w:rPr>
            <w:noProof/>
            <w:webHidden/>
          </w:rPr>
          <w:tab/>
        </w:r>
        <w:r>
          <w:rPr>
            <w:noProof/>
            <w:webHidden/>
          </w:rPr>
          <w:fldChar w:fldCharType="begin"/>
        </w:r>
        <w:r>
          <w:rPr>
            <w:noProof/>
            <w:webHidden/>
          </w:rPr>
          <w:instrText xml:space="preserve"> PAGEREF _Toc194937389 \h </w:instrText>
        </w:r>
        <w:r>
          <w:rPr>
            <w:noProof/>
            <w:webHidden/>
          </w:rPr>
        </w:r>
        <w:r>
          <w:rPr>
            <w:noProof/>
            <w:webHidden/>
          </w:rPr>
          <w:fldChar w:fldCharType="separate"/>
        </w:r>
        <w:r w:rsidR="00916426">
          <w:rPr>
            <w:noProof/>
            <w:webHidden/>
          </w:rPr>
          <w:t>21</w:t>
        </w:r>
        <w:r>
          <w:rPr>
            <w:noProof/>
            <w:webHidden/>
          </w:rPr>
          <w:fldChar w:fldCharType="end"/>
        </w:r>
      </w:hyperlink>
    </w:p>
    <w:p w14:paraId="1BF1D2E8" w14:textId="23DBD2F7" w:rsidR="001E6213" w:rsidRDefault="001E6213">
      <w:pPr>
        <w:pStyle w:val="TOC2"/>
        <w:rPr>
          <w:rFonts w:cstheme="minorBidi"/>
          <w:noProof/>
          <w:kern w:val="2"/>
          <w:sz w:val="24"/>
          <w:szCs w:val="24"/>
          <w:lang w:val="en-PH" w:eastAsia="en-PH"/>
          <w14:ligatures w14:val="standardContextual"/>
        </w:rPr>
      </w:pPr>
      <w:hyperlink w:anchor="_Toc194937390" w:history="1">
        <w:r w:rsidRPr="00293315">
          <w:rPr>
            <w:rStyle w:val="Hyperlink"/>
            <w:noProof/>
          </w:rPr>
          <w:t>Are managers of crypto funds regulated in Dubai (UAE)?</w:t>
        </w:r>
        <w:r>
          <w:rPr>
            <w:noProof/>
            <w:webHidden/>
          </w:rPr>
          <w:tab/>
        </w:r>
        <w:r>
          <w:rPr>
            <w:noProof/>
            <w:webHidden/>
          </w:rPr>
          <w:fldChar w:fldCharType="begin"/>
        </w:r>
        <w:r>
          <w:rPr>
            <w:noProof/>
            <w:webHidden/>
          </w:rPr>
          <w:instrText xml:space="preserve"> PAGEREF _Toc194937390 \h </w:instrText>
        </w:r>
        <w:r>
          <w:rPr>
            <w:noProof/>
            <w:webHidden/>
          </w:rPr>
        </w:r>
        <w:r>
          <w:rPr>
            <w:noProof/>
            <w:webHidden/>
          </w:rPr>
          <w:fldChar w:fldCharType="separate"/>
        </w:r>
        <w:r w:rsidR="00916426">
          <w:rPr>
            <w:noProof/>
            <w:webHidden/>
          </w:rPr>
          <w:t>21</w:t>
        </w:r>
        <w:r>
          <w:rPr>
            <w:noProof/>
            <w:webHidden/>
          </w:rPr>
          <w:fldChar w:fldCharType="end"/>
        </w:r>
      </w:hyperlink>
    </w:p>
    <w:p w14:paraId="2734C32F" w14:textId="64F1DBF5" w:rsidR="001E6213" w:rsidRDefault="001E6213">
      <w:pPr>
        <w:pStyle w:val="TOC2"/>
        <w:rPr>
          <w:rFonts w:cstheme="minorBidi"/>
          <w:noProof/>
          <w:kern w:val="2"/>
          <w:sz w:val="24"/>
          <w:szCs w:val="24"/>
          <w:lang w:val="en-PH" w:eastAsia="en-PH"/>
          <w14:ligatures w14:val="standardContextual"/>
        </w:rPr>
      </w:pPr>
      <w:hyperlink w:anchor="_Toc194937391" w:history="1">
        <w:r w:rsidRPr="00293315">
          <w:rPr>
            <w:rStyle w:val="Hyperlink"/>
            <w:noProof/>
          </w:rPr>
          <w:t>Are distributors of virtual asset funds regulated in Dubai (UAE)?</w:t>
        </w:r>
        <w:r>
          <w:rPr>
            <w:noProof/>
            <w:webHidden/>
          </w:rPr>
          <w:tab/>
        </w:r>
        <w:r>
          <w:rPr>
            <w:noProof/>
            <w:webHidden/>
          </w:rPr>
          <w:fldChar w:fldCharType="begin"/>
        </w:r>
        <w:r>
          <w:rPr>
            <w:noProof/>
            <w:webHidden/>
          </w:rPr>
          <w:instrText xml:space="preserve"> PAGEREF _Toc194937391 \h </w:instrText>
        </w:r>
        <w:r>
          <w:rPr>
            <w:noProof/>
            <w:webHidden/>
          </w:rPr>
        </w:r>
        <w:r>
          <w:rPr>
            <w:noProof/>
            <w:webHidden/>
          </w:rPr>
          <w:fldChar w:fldCharType="separate"/>
        </w:r>
        <w:r w:rsidR="00916426">
          <w:rPr>
            <w:noProof/>
            <w:webHidden/>
          </w:rPr>
          <w:t>22</w:t>
        </w:r>
        <w:r>
          <w:rPr>
            <w:noProof/>
            <w:webHidden/>
          </w:rPr>
          <w:fldChar w:fldCharType="end"/>
        </w:r>
      </w:hyperlink>
    </w:p>
    <w:p w14:paraId="2E309EB1" w14:textId="08BE2C9B" w:rsidR="001E6213" w:rsidRDefault="001E6213">
      <w:pPr>
        <w:pStyle w:val="TOC2"/>
        <w:rPr>
          <w:rFonts w:cstheme="minorBidi"/>
          <w:noProof/>
          <w:kern w:val="2"/>
          <w:sz w:val="24"/>
          <w:szCs w:val="24"/>
          <w:lang w:val="en-PH" w:eastAsia="en-PH"/>
          <w14:ligatures w14:val="standardContextual"/>
        </w:rPr>
      </w:pPr>
      <w:hyperlink w:anchor="_Toc194937392" w:history="1">
        <w:r w:rsidRPr="00293315">
          <w:rPr>
            <w:rStyle w:val="Hyperlink"/>
            <w:noProof/>
          </w:rPr>
          <w:t>Are there requirements for intermediaries seeking to provide trading in virtual assets for clients or advise clients on virtual assets in Dubai (UAE)?</w:t>
        </w:r>
        <w:r>
          <w:rPr>
            <w:noProof/>
            <w:webHidden/>
          </w:rPr>
          <w:tab/>
        </w:r>
        <w:r>
          <w:rPr>
            <w:noProof/>
            <w:webHidden/>
          </w:rPr>
          <w:fldChar w:fldCharType="begin"/>
        </w:r>
        <w:r>
          <w:rPr>
            <w:noProof/>
            <w:webHidden/>
          </w:rPr>
          <w:instrText xml:space="preserve"> PAGEREF _Toc194937392 \h </w:instrText>
        </w:r>
        <w:r>
          <w:rPr>
            <w:noProof/>
            <w:webHidden/>
          </w:rPr>
        </w:r>
        <w:r>
          <w:rPr>
            <w:noProof/>
            <w:webHidden/>
          </w:rPr>
          <w:fldChar w:fldCharType="separate"/>
        </w:r>
        <w:r w:rsidR="00916426">
          <w:rPr>
            <w:noProof/>
            <w:webHidden/>
          </w:rPr>
          <w:t>23</w:t>
        </w:r>
        <w:r>
          <w:rPr>
            <w:noProof/>
            <w:webHidden/>
          </w:rPr>
          <w:fldChar w:fldCharType="end"/>
        </w:r>
      </w:hyperlink>
    </w:p>
    <w:p w14:paraId="1A44C41F" w14:textId="1D6ABC9A"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93" w:history="1">
        <w:r w:rsidRPr="00293315">
          <w:rPr>
            <w:rStyle w:val="Hyperlink"/>
            <w:noProof/>
          </w:rPr>
          <w:t>5.</w:t>
        </w:r>
        <w:r>
          <w:rPr>
            <w:rFonts w:cstheme="minorBidi"/>
            <w:b w:val="0"/>
            <w:noProof/>
            <w:kern w:val="2"/>
            <w:sz w:val="24"/>
            <w:szCs w:val="24"/>
            <w:lang w:val="en-PH" w:eastAsia="en-PH"/>
            <w14:ligatures w14:val="standardContextual"/>
          </w:rPr>
          <w:tab/>
        </w:r>
        <w:r w:rsidRPr="00293315">
          <w:rPr>
            <w:rStyle w:val="Hyperlink"/>
            <w:noProof/>
          </w:rPr>
          <w:t>Other relevant regulatory information</w:t>
        </w:r>
        <w:r>
          <w:rPr>
            <w:noProof/>
            <w:webHidden/>
          </w:rPr>
          <w:tab/>
        </w:r>
        <w:r>
          <w:rPr>
            <w:noProof/>
            <w:webHidden/>
          </w:rPr>
          <w:fldChar w:fldCharType="begin"/>
        </w:r>
        <w:r>
          <w:rPr>
            <w:noProof/>
            <w:webHidden/>
          </w:rPr>
          <w:instrText xml:space="preserve"> PAGEREF _Toc194937393 \h </w:instrText>
        </w:r>
        <w:r>
          <w:rPr>
            <w:noProof/>
            <w:webHidden/>
          </w:rPr>
        </w:r>
        <w:r>
          <w:rPr>
            <w:noProof/>
            <w:webHidden/>
          </w:rPr>
          <w:fldChar w:fldCharType="separate"/>
        </w:r>
        <w:r w:rsidR="00916426">
          <w:rPr>
            <w:noProof/>
            <w:webHidden/>
          </w:rPr>
          <w:t>24</w:t>
        </w:r>
        <w:r>
          <w:rPr>
            <w:noProof/>
            <w:webHidden/>
          </w:rPr>
          <w:fldChar w:fldCharType="end"/>
        </w:r>
      </w:hyperlink>
    </w:p>
    <w:p w14:paraId="5B24883E" w14:textId="68311FB7" w:rsidR="001E6213" w:rsidRDefault="001E6213">
      <w:pPr>
        <w:pStyle w:val="TOC2"/>
        <w:rPr>
          <w:rFonts w:cstheme="minorBidi"/>
          <w:noProof/>
          <w:kern w:val="2"/>
          <w:sz w:val="24"/>
          <w:szCs w:val="24"/>
          <w:lang w:val="en-PH" w:eastAsia="en-PH"/>
          <w14:ligatures w14:val="standardContextual"/>
        </w:rPr>
      </w:pPr>
      <w:hyperlink w:anchor="_Toc194937394" w:history="1">
        <w:r w:rsidRPr="00293315">
          <w:rPr>
            <w:rStyle w:val="Hyperlink"/>
            <w:noProof/>
          </w:rPr>
          <w:t>Are there any upcoming regulatory developments in respect of crypto-related activity in Dubai (UAE)?</w:t>
        </w:r>
        <w:r>
          <w:rPr>
            <w:noProof/>
            <w:webHidden/>
          </w:rPr>
          <w:tab/>
        </w:r>
        <w:r>
          <w:rPr>
            <w:noProof/>
            <w:webHidden/>
          </w:rPr>
          <w:fldChar w:fldCharType="begin"/>
        </w:r>
        <w:r>
          <w:rPr>
            <w:noProof/>
            <w:webHidden/>
          </w:rPr>
          <w:instrText xml:space="preserve"> PAGEREF _Toc194937394 \h </w:instrText>
        </w:r>
        <w:r>
          <w:rPr>
            <w:noProof/>
            <w:webHidden/>
          </w:rPr>
        </w:r>
        <w:r>
          <w:rPr>
            <w:noProof/>
            <w:webHidden/>
          </w:rPr>
          <w:fldChar w:fldCharType="separate"/>
        </w:r>
        <w:r w:rsidR="00916426">
          <w:rPr>
            <w:noProof/>
            <w:webHidden/>
          </w:rPr>
          <w:t>24</w:t>
        </w:r>
        <w:r>
          <w:rPr>
            <w:noProof/>
            <w:webHidden/>
          </w:rPr>
          <w:fldChar w:fldCharType="end"/>
        </w:r>
      </w:hyperlink>
    </w:p>
    <w:p w14:paraId="238B8818" w14:textId="6069EA0E" w:rsidR="001E6213" w:rsidRDefault="001E6213">
      <w:pPr>
        <w:pStyle w:val="TOC2"/>
        <w:rPr>
          <w:rFonts w:cstheme="minorBidi"/>
          <w:noProof/>
          <w:kern w:val="2"/>
          <w:sz w:val="24"/>
          <w:szCs w:val="24"/>
          <w:lang w:val="en-PH" w:eastAsia="en-PH"/>
          <w14:ligatures w14:val="standardContextual"/>
        </w:rPr>
      </w:pPr>
      <w:hyperlink w:anchor="_Toc194937395" w:history="1">
        <w:r w:rsidRPr="00293315">
          <w:rPr>
            <w:rStyle w:val="Hyperlink"/>
            <w:noProof/>
          </w:rPr>
          <w:t>Has there been any notable events in Dubai (UAE) that has prompted regulatory change recently?</w:t>
        </w:r>
        <w:r>
          <w:rPr>
            <w:noProof/>
            <w:webHidden/>
          </w:rPr>
          <w:tab/>
        </w:r>
        <w:r>
          <w:rPr>
            <w:noProof/>
            <w:webHidden/>
          </w:rPr>
          <w:fldChar w:fldCharType="begin"/>
        </w:r>
        <w:r>
          <w:rPr>
            <w:noProof/>
            <w:webHidden/>
          </w:rPr>
          <w:instrText xml:space="preserve"> PAGEREF _Toc194937395 \h </w:instrText>
        </w:r>
        <w:r>
          <w:rPr>
            <w:noProof/>
            <w:webHidden/>
          </w:rPr>
        </w:r>
        <w:r>
          <w:rPr>
            <w:noProof/>
            <w:webHidden/>
          </w:rPr>
          <w:fldChar w:fldCharType="separate"/>
        </w:r>
        <w:r w:rsidR="00916426">
          <w:rPr>
            <w:noProof/>
            <w:webHidden/>
          </w:rPr>
          <w:t>25</w:t>
        </w:r>
        <w:r>
          <w:rPr>
            <w:noProof/>
            <w:webHidden/>
          </w:rPr>
          <w:fldChar w:fldCharType="end"/>
        </w:r>
      </w:hyperlink>
    </w:p>
    <w:p w14:paraId="3AF0C4D4" w14:textId="3F7128FC"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96" w:history="1">
        <w:r w:rsidRPr="00293315">
          <w:rPr>
            <w:rStyle w:val="Hyperlink"/>
            <w:noProof/>
          </w:rPr>
          <w:t>6.</w:t>
        </w:r>
        <w:r>
          <w:rPr>
            <w:rFonts w:cstheme="minorBidi"/>
            <w:b w:val="0"/>
            <w:noProof/>
            <w:kern w:val="2"/>
            <w:sz w:val="24"/>
            <w:szCs w:val="24"/>
            <w:lang w:val="en-PH" w:eastAsia="en-PH"/>
            <w14:ligatures w14:val="standardContextual"/>
          </w:rPr>
          <w:tab/>
        </w:r>
        <w:r w:rsidRPr="00293315">
          <w:rPr>
            <w:rStyle w:val="Hyperlink"/>
            <w:noProof/>
          </w:rPr>
          <w:t>Pending litigation and judgments related to virtual assets in Dubai (UAE) (if any)</w:t>
        </w:r>
        <w:r>
          <w:rPr>
            <w:noProof/>
            <w:webHidden/>
          </w:rPr>
          <w:tab/>
        </w:r>
        <w:r>
          <w:rPr>
            <w:noProof/>
            <w:webHidden/>
          </w:rPr>
          <w:fldChar w:fldCharType="begin"/>
        </w:r>
        <w:r>
          <w:rPr>
            <w:noProof/>
            <w:webHidden/>
          </w:rPr>
          <w:instrText xml:space="preserve"> PAGEREF _Toc194937396 \h </w:instrText>
        </w:r>
        <w:r>
          <w:rPr>
            <w:noProof/>
            <w:webHidden/>
          </w:rPr>
        </w:r>
        <w:r>
          <w:rPr>
            <w:noProof/>
            <w:webHidden/>
          </w:rPr>
          <w:fldChar w:fldCharType="separate"/>
        </w:r>
        <w:r w:rsidR="00916426">
          <w:rPr>
            <w:noProof/>
            <w:webHidden/>
          </w:rPr>
          <w:t>26</w:t>
        </w:r>
        <w:r>
          <w:rPr>
            <w:noProof/>
            <w:webHidden/>
          </w:rPr>
          <w:fldChar w:fldCharType="end"/>
        </w:r>
      </w:hyperlink>
    </w:p>
    <w:p w14:paraId="41BBD720" w14:textId="43B858D2"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97" w:history="1">
        <w:r w:rsidRPr="00293315">
          <w:rPr>
            <w:rStyle w:val="Hyperlink"/>
            <w:noProof/>
          </w:rPr>
          <w:t>7.</w:t>
        </w:r>
        <w:r>
          <w:rPr>
            <w:rFonts w:cstheme="minorBidi"/>
            <w:b w:val="0"/>
            <w:noProof/>
            <w:kern w:val="2"/>
            <w:sz w:val="24"/>
            <w:szCs w:val="24"/>
            <w:lang w:val="en-PH" w:eastAsia="en-PH"/>
            <w14:ligatures w14:val="standardContextual"/>
          </w:rPr>
          <w:tab/>
        </w:r>
        <w:r w:rsidRPr="00293315">
          <w:rPr>
            <w:rStyle w:val="Hyperlink"/>
            <w:noProof/>
          </w:rPr>
          <w:t>Government outlook on virtual assets and crypto-related activities in Dubai (UAE)</w:t>
        </w:r>
        <w:r>
          <w:rPr>
            <w:noProof/>
            <w:webHidden/>
          </w:rPr>
          <w:tab/>
        </w:r>
        <w:r>
          <w:rPr>
            <w:noProof/>
            <w:webHidden/>
          </w:rPr>
          <w:fldChar w:fldCharType="begin"/>
        </w:r>
        <w:r>
          <w:rPr>
            <w:noProof/>
            <w:webHidden/>
          </w:rPr>
          <w:instrText xml:space="preserve"> PAGEREF _Toc194937397 \h </w:instrText>
        </w:r>
        <w:r>
          <w:rPr>
            <w:noProof/>
            <w:webHidden/>
          </w:rPr>
        </w:r>
        <w:r>
          <w:rPr>
            <w:noProof/>
            <w:webHidden/>
          </w:rPr>
          <w:fldChar w:fldCharType="separate"/>
        </w:r>
        <w:r w:rsidR="00916426">
          <w:rPr>
            <w:noProof/>
            <w:webHidden/>
          </w:rPr>
          <w:t>26</w:t>
        </w:r>
        <w:r>
          <w:rPr>
            <w:noProof/>
            <w:webHidden/>
          </w:rPr>
          <w:fldChar w:fldCharType="end"/>
        </w:r>
      </w:hyperlink>
    </w:p>
    <w:p w14:paraId="5E38C5DB" w14:textId="5EA711D2" w:rsidR="001E6213" w:rsidRDefault="001E6213">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398" w:history="1">
        <w:r w:rsidRPr="00293315">
          <w:rPr>
            <w:rStyle w:val="Hyperlink"/>
            <w:noProof/>
          </w:rPr>
          <w:t>8.</w:t>
        </w:r>
        <w:r>
          <w:rPr>
            <w:rFonts w:cstheme="minorBidi"/>
            <w:b w:val="0"/>
            <w:noProof/>
            <w:kern w:val="2"/>
            <w:sz w:val="24"/>
            <w:szCs w:val="24"/>
            <w:lang w:val="en-PH" w:eastAsia="en-PH"/>
            <w14:ligatures w14:val="standardContextual"/>
          </w:rPr>
          <w:tab/>
        </w:r>
        <w:r w:rsidRPr="00293315">
          <w:rPr>
            <w:rStyle w:val="Hyperlink"/>
            <w:noProof/>
          </w:rPr>
          <w:t>Advantages of setting up a VASP in Dubai (UAE)</w:t>
        </w:r>
        <w:r>
          <w:rPr>
            <w:noProof/>
            <w:webHidden/>
          </w:rPr>
          <w:tab/>
        </w:r>
        <w:r>
          <w:rPr>
            <w:noProof/>
            <w:webHidden/>
          </w:rPr>
          <w:fldChar w:fldCharType="begin"/>
        </w:r>
        <w:r>
          <w:rPr>
            <w:noProof/>
            <w:webHidden/>
          </w:rPr>
          <w:instrText xml:space="preserve"> PAGEREF _Toc194937398 \h </w:instrText>
        </w:r>
        <w:r>
          <w:rPr>
            <w:noProof/>
            <w:webHidden/>
          </w:rPr>
        </w:r>
        <w:r>
          <w:rPr>
            <w:noProof/>
            <w:webHidden/>
          </w:rPr>
          <w:fldChar w:fldCharType="separate"/>
        </w:r>
        <w:r w:rsidR="00916426">
          <w:rPr>
            <w:noProof/>
            <w:webHidden/>
          </w:rPr>
          <w:t>27</w:t>
        </w:r>
        <w:r>
          <w:rPr>
            <w:noProof/>
            <w:webHidden/>
          </w:rPr>
          <w:fldChar w:fldCharType="end"/>
        </w:r>
      </w:hyperlink>
    </w:p>
    <w:p w14:paraId="3511DC97" w14:textId="4EC182C0" w:rsidR="001E6213" w:rsidRPr="001E6213" w:rsidRDefault="001E6213" w:rsidP="001E6213">
      <w:pPr>
        <w:jc w:val="both"/>
        <w:rPr>
          <w:rFonts w:cs="Times New Roman"/>
          <w:bCs/>
          <w:color w:val="FF6E00"/>
          <w:sz w:val="20"/>
          <w:lang w:eastAsia="en-US"/>
        </w:rPr>
      </w:pPr>
      <w:r>
        <w:rPr>
          <w:rFonts w:cs="Times New Roman"/>
          <w:bCs/>
          <w:color w:val="FF6E00"/>
          <w:sz w:val="20"/>
          <w:lang w:eastAsia="en-US"/>
        </w:rPr>
        <w:fldChar w:fldCharType="end"/>
      </w:r>
    </w:p>
    <w:p w14:paraId="0B3D8CDB" w14:textId="5FF6ABF1" w:rsidR="009E6883" w:rsidRPr="00EB675D" w:rsidRDefault="00BE6F03" w:rsidP="001E6213">
      <w:pPr>
        <w:pStyle w:val="Heading1"/>
      </w:pPr>
      <w:bookmarkStart w:id="0" w:name="_Toc194937369"/>
      <w:r w:rsidRPr="00EB675D">
        <w:lastRenderedPageBreak/>
        <w:t xml:space="preserve">Virtual </w:t>
      </w:r>
      <w:r w:rsidRPr="001E6213">
        <w:t>asset</w:t>
      </w:r>
      <w:r w:rsidR="009E6883" w:rsidRPr="00EB675D">
        <w:t xml:space="preserve"> laws and regulations </w:t>
      </w:r>
      <w:r w:rsidR="00DD2CD2" w:rsidRPr="00EB675D">
        <w:t xml:space="preserve">in </w:t>
      </w:r>
      <w:r w:rsidR="00314D4A" w:rsidRPr="00EB675D">
        <w:t>Dubai (UAE)</w:t>
      </w:r>
      <w:bookmarkEnd w:id="0"/>
    </w:p>
    <w:p w14:paraId="322FD324" w14:textId="77777777" w:rsidR="00627DB1" w:rsidRPr="00EB675D" w:rsidRDefault="00627DB1" w:rsidP="00EB675D">
      <w:pPr>
        <w:spacing w:after="0" w:line="240" w:lineRule="auto"/>
        <w:ind w:left="360"/>
        <w:jc w:val="both"/>
        <w:rPr>
          <w:rFonts w:eastAsia="Times New Roman" w:cstheme="minorHAnsi"/>
          <w:b/>
          <w:lang w:val="en-SG"/>
        </w:rPr>
      </w:pPr>
    </w:p>
    <w:p w14:paraId="4846A676" w14:textId="3B55F792" w:rsidR="0028403B" w:rsidRPr="00EB675D" w:rsidRDefault="00036E5B" w:rsidP="00EB675D">
      <w:pPr>
        <w:spacing w:after="0" w:line="240" w:lineRule="auto"/>
        <w:ind w:left="360"/>
        <w:jc w:val="both"/>
        <w:rPr>
          <w:rFonts w:eastAsia="Times New Roman" w:cstheme="minorHAnsi"/>
          <w:bCs/>
        </w:rPr>
      </w:pPr>
      <w:r w:rsidRPr="00EB675D">
        <w:rPr>
          <w:rFonts w:eastAsia="Times New Roman" w:cstheme="minorHAnsi"/>
          <w:bCs/>
        </w:rPr>
        <w:t>Dubai has been at the forefront of developing its virtual assets regulatory landscape. In March 2022, Dubai enacted the Regulation of Virtual Assets law (</w:t>
      </w:r>
      <w:hyperlink r:id="rId9" w:anchor=":~:text=Article%20(4),the%20achievement%20of%20its%20objectives" w:history="1">
        <w:r w:rsidRPr="00EB675D">
          <w:rPr>
            <w:rStyle w:val="Hyperlink"/>
            <w:rFonts w:eastAsia="Times New Roman" w:cstheme="minorHAnsi"/>
            <w:b/>
            <w:bCs/>
            <w:color w:val="FF6E00"/>
            <w:u w:val="none"/>
          </w:rPr>
          <w:t>VAL</w:t>
        </w:r>
      </w:hyperlink>
      <w:r w:rsidRPr="00EB675D">
        <w:rPr>
          <w:rFonts w:eastAsia="Times New Roman" w:cstheme="minorHAnsi"/>
          <w:bCs/>
        </w:rPr>
        <w:t>) and established the Dubai Virtual Assets Regulatory Authority (</w:t>
      </w:r>
      <w:hyperlink r:id="rId10" w:history="1">
        <w:r w:rsidRPr="00EB675D">
          <w:rPr>
            <w:rStyle w:val="Hyperlink"/>
            <w:rFonts w:eastAsia="Times New Roman" w:cstheme="minorHAnsi"/>
            <w:b/>
            <w:bCs/>
            <w:color w:val="FF6E00"/>
            <w:u w:val="none"/>
          </w:rPr>
          <w:t>VARA</w:t>
        </w:r>
      </w:hyperlink>
      <w:r w:rsidRPr="00EB675D">
        <w:rPr>
          <w:rFonts w:eastAsia="Times New Roman" w:cstheme="minorHAnsi"/>
          <w:bCs/>
        </w:rPr>
        <w:t xml:space="preserve">) to oversee the regulation of virtual assets in Dubai. </w:t>
      </w:r>
      <w:proofErr w:type="gramStart"/>
      <w:r w:rsidRPr="00EB675D">
        <w:rPr>
          <w:rFonts w:eastAsia="Times New Roman" w:cstheme="minorHAnsi"/>
          <w:bCs/>
        </w:rPr>
        <w:t>The VARA</w:t>
      </w:r>
      <w:proofErr w:type="gramEnd"/>
      <w:r w:rsidRPr="00EB675D">
        <w:rPr>
          <w:rFonts w:eastAsia="Times New Roman" w:cstheme="minorHAnsi"/>
          <w:bCs/>
        </w:rPr>
        <w:t xml:space="preserve"> is responsible for licensing and regulating virtual assets, including crypto assets, digital assets, and NFTs, across Dubai's mainland and free zone territories, except for the Dubai International Financial Centre (</w:t>
      </w:r>
      <w:hyperlink r:id="rId11" w:history="1">
        <w:r w:rsidRPr="00EB675D">
          <w:rPr>
            <w:rStyle w:val="Hyperlink"/>
            <w:rFonts w:eastAsia="Times New Roman" w:cstheme="minorHAnsi"/>
            <w:b/>
            <w:bCs/>
            <w:color w:val="FF6E00"/>
            <w:u w:val="none"/>
          </w:rPr>
          <w:t>DIFC</w:t>
        </w:r>
      </w:hyperlink>
      <w:r w:rsidRPr="00EB675D">
        <w:rPr>
          <w:rFonts w:eastAsia="Times New Roman" w:cstheme="minorHAnsi"/>
          <w:bCs/>
        </w:rPr>
        <w:t>). Additionally, Dubai Multi Commodities Centre Authority (</w:t>
      </w:r>
      <w:r w:rsidRPr="00EB675D">
        <w:rPr>
          <w:rFonts w:eastAsia="Times New Roman" w:cstheme="minorHAnsi"/>
          <w:b/>
          <w:bCs/>
        </w:rPr>
        <w:t>DMCCA</w:t>
      </w:r>
      <w:r w:rsidRPr="00EB675D">
        <w:rPr>
          <w:rFonts w:eastAsia="Times New Roman" w:cstheme="minorHAnsi"/>
          <w:bCs/>
        </w:rPr>
        <w:t>) and Dubai Airport Freezone Authority (</w:t>
      </w:r>
      <w:r w:rsidRPr="00EB675D">
        <w:rPr>
          <w:rFonts w:eastAsia="Times New Roman" w:cstheme="minorHAnsi"/>
          <w:b/>
          <w:bCs/>
        </w:rPr>
        <w:t>DAFA</w:t>
      </w:r>
      <w:r w:rsidRPr="00EB675D">
        <w:rPr>
          <w:rFonts w:eastAsia="Times New Roman" w:cstheme="minorHAnsi"/>
          <w:bCs/>
        </w:rPr>
        <w:t xml:space="preserve">) both have their own regulatory frameworks for virtual assets, aimed at aligning with the requirements laid out in the SCA Virtual Asset Regulation Framework. </w:t>
      </w:r>
    </w:p>
    <w:p w14:paraId="28F928F4" w14:textId="77777777" w:rsidR="00F9672A" w:rsidRPr="00EB675D" w:rsidRDefault="00F9672A" w:rsidP="00EB675D">
      <w:pPr>
        <w:spacing w:after="0" w:line="240" w:lineRule="auto"/>
        <w:ind w:left="360"/>
        <w:jc w:val="both"/>
        <w:rPr>
          <w:rFonts w:eastAsia="Times New Roman" w:cstheme="minorHAnsi"/>
          <w:b/>
          <w:lang w:val="en-SG"/>
        </w:rPr>
      </w:pPr>
    </w:p>
    <w:p w14:paraId="7796A9CA" w14:textId="5033D886" w:rsidR="00734EC1" w:rsidRPr="00EB675D" w:rsidRDefault="009E6883" w:rsidP="001E6213">
      <w:pPr>
        <w:pStyle w:val="Heading2"/>
      </w:pPr>
      <w:bookmarkStart w:id="1" w:name="_Toc194937370"/>
      <w:r w:rsidRPr="00EB675D">
        <w:t xml:space="preserve">What </w:t>
      </w:r>
      <w:r w:rsidRPr="001E6213">
        <w:t>is</w:t>
      </w:r>
      <w:r w:rsidRPr="00EB675D">
        <w:t xml:space="preserve"> considered a </w:t>
      </w:r>
      <w:r w:rsidR="000F364C" w:rsidRPr="00EB675D">
        <w:t>v</w:t>
      </w:r>
      <w:r w:rsidR="00BE6F03" w:rsidRPr="00EB675D">
        <w:t>irtual asset</w:t>
      </w:r>
      <w:r w:rsidRPr="00EB675D">
        <w:t xml:space="preserve"> </w:t>
      </w:r>
      <w:r w:rsidR="00DD2CD2" w:rsidRPr="00EB675D">
        <w:t xml:space="preserve">in </w:t>
      </w:r>
      <w:r w:rsidR="00314D4A" w:rsidRPr="00EB675D">
        <w:t>Dubai (UAE)</w:t>
      </w:r>
      <w:r w:rsidRPr="00EB675D">
        <w:t>?</w:t>
      </w:r>
      <w:bookmarkEnd w:id="1"/>
    </w:p>
    <w:p w14:paraId="52D7E10A" w14:textId="77777777" w:rsidR="00775445" w:rsidRPr="00EB675D" w:rsidRDefault="00775445" w:rsidP="00EB675D">
      <w:pPr>
        <w:spacing w:after="0" w:line="240" w:lineRule="auto"/>
        <w:ind w:left="360"/>
        <w:jc w:val="both"/>
        <w:rPr>
          <w:rFonts w:eastAsia="Times New Roman" w:cstheme="minorHAnsi"/>
          <w:b/>
          <w:bCs/>
          <w:u w:val="single"/>
          <w:lang w:val="en-SG"/>
        </w:rPr>
      </w:pPr>
    </w:p>
    <w:p w14:paraId="70B0C745" w14:textId="2A9710B4" w:rsidR="00036E5B" w:rsidRPr="00EB675D" w:rsidRDefault="00036E5B" w:rsidP="00EB675D">
      <w:pPr>
        <w:spacing w:after="0" w:line="240" w:lineRule="auto"/>
        <w:ind w:left="360"/>
        <w:jc w:val="both"/>
        <w:rPr>
          <w:rFonts w:eastAsia="Times New Roman" w:cstheme="minorHAnsi"/>
        </w:rPr>
      </w:pPr>
      <w:r w:rsidRPr="00036E5B">
        <w:rPr>
          <w:rFonts w:eastAsia="Times New Roman" w:cstheme="minorHAnsi"/>
        </w:rPr>
        <w:t>As per the definition given in Law No.4 of 2022 on the regulation of VAL,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11F2A9C5" w14:textId="77777777" w:rsidR="003646DB" w:rsidRPr="00EB675D" w:rsidRDefault="003646DB" w:rsidP="00EB675D">
      <w:pPr>
        <w:spacing w:after="0" w:line="240" w:lineRule="auto"/>
        <w:ind w:left="360"/>
        <w:jc w:val="both"/>
        <w:rPr>
          <w:rFonts w:eastAsia="Times New Roman" w:cstheme="minorHAnsi"/>
        </w:rPr>
      </w:pPr>
    </w:p>
    <w:p w14:paraId="0C458603" w14:textId="77777777" w:rsidR="003646DB" w:rsidRPr="00EB675D" w:rsidRDefault="003646DB" w:rsidP="001E6213">
      <w:pPr>
        <w:pStyle w:val="Heading2"/>
      </w:pPr>
      <w:bookmarkStart w:id="2" w:name="_Toc194937371"/>
      <w:r w:rsidRPr="003646DB">
        <w:t>What are the relevant laws and regulations in Dubai (UAE)?</w:t>
      </w:r>
      <w:bookmarkEnd w:id="2"/>
    </w:p>
    <w:p w14:paraId="75AB183C" w14:textId="77777777" w:rsidR="003646DB" w:rsidRPr="003646DB" w:rsidRDefault="003646DB" w:rsidP="00EB675D">
      <w:pPr>
        <w:spacing w:after="0" w:line="240" w:lineRule="auto"/>
        <w:ind w:left="360"/>
        <w:jc w:val="both"/>
        <w:rPr>
          <w:rFonts w:eastAsia="Times New Roman" w:cstheme="minorHAnsi"/>
          <w:b/>
          <w:bCs/>
          <w:u w:val="single"/>
        </w:rPr>
      </w:pPr>
    </w:p>
    <w:p w14:paraId="6232E353" w14:textId="77777777" w:rsidR="003646DB" w:rsidRPr="003646DB" w:rsidRDefault="003646DB" w:rsidP="00EB675D">
      <w:pPr>
        <w:spacing w:after="0" w:line="240" w:lineRule="auto"/>
        <w:ind w:left="360"/>
        <w:jc w:val="both"/>
        <w:rPr>
          <w:rFonts w:eastAsia="Times New Roman" w:cstheme="minorHAnsi"/>
        </w:rPr>
      </w:pPr>
      <w:r w:rsidRPr="003646DB">
        <w:rPr>
          <w:rFonts w:eastAsia="Times New Roman" w:cstheme="minorHAnsi"/>
        </w:rPr>
        <w:t>Here is an outline detailing the applicable laws on virtual assets in Dubai and their evolution:</w:t>
      </w:r>
    </w:p>
    <w:p w14:paraId="5547D6DF" w14:textId="77777777" w:rsidR="003646DB" w:rsidRPr="003646DB" w:rsidRDefault="003646DB" w:rsidP="00EB675D">
      <w:pPr>
        <w:spacing w:after="0" w:line="240" w:lineRule="auto"/>
        <w:ind w:left="360"/>
        <w:jc w:val="both"/>
        <w:rPr>
          <w:rFonts w:eastAsia="Times New Roman" w:cstheme="minorHAnsi"/>
        </w:rPr>
      </w:pPr>
    </w:p>
    <w:p w14:paraId="5B3B0C4C" w14:textId="0F62614F" w:rsidR="003646DB" w:rsidRPr="00EB675D" w:rsidRDefault="003646DB" w:rsidP="00EB675D">
      <w:pPr>
        <w:numPr>
          <w:ilvl w:val="0"/>
          <w:numId w:val="165"/>
        </w:numPr>
        <w:spacing w:after="0" w:line="240" w:lineRule="auto"/>
        <w:ind w:left="1080"/>
        <w:jc w:val="both"/>
        <w:rPr>
          <w:rFonts w:eastAsia="Times New Roman" w:cstheme="minorHAnsi"/>
        </w:rPr>
      </w:pPr>
      <w:hyperlink r:id="rId12" w:history="1">
        <w:r w:rsidRPr="003646DB">
          <w:rPr>
            <w:rStyle w:val="Hyperlink"/>
            <w:rFonts w:eastAsia="Times New Roman" w:cstheme="minorHAnsi"/>
            <w:color w:val="FF6E00"/>
          </w:rPr>
          <w:t>Sharia Ruling on Cryptocurrencies (Fatwa No. 89043)</w:t>
        </w:r>
      </w:hyperlink>
      <w:r w:rsidRPr="003646DB">
        <w:rPr>
          <w:rFonts w:eastAsia="Times New Roman" w:cstheme="minorHAnsi"/>
        </w:rPr>
        <w:t>: In 2018, the UAE's General Authority for Islamic Affairs and Endowments issued a fatwa (89043) declaring Bitcoin and cryptocurrencies ineligible for trading. According to Sharia criteria, these virtual currencies lack state recognition, making them impermissible under Islamic law.</w:t>
      </w:r>
    </w:p>
    <w:p w14:paraId="3D5752BA" w14:textId="77777777" w:rsidR="003646DB" w:rsidRPr="00EB675D" w:rsidRDefault="003646DB" w:rsidP="00EB675D">
      <w:pPr>
        <w:spacing w:after="0" w:line="240" w:lineRule="auto"/>
        <w:ind w:left="1080"/>
        <w:jc w:val="both"/>
        <w:rPr>
          <w:rFonts w:eastAsia="Times New Roman" w:cstheme="minorHAnsi"/>
        </w:rPr>
      </w:pPr>
    </w:p>
    <w:p w14:paraId="00796262" w14:textId="62B63FB0" w:rsidR="003646DB" w:rsidRPr="00EB675D" w:rsidRDefault="003646DB" w:rsidP="00EB675D">
      <w:pPr>
        <w:spacing w:after="0" w:line="240" w:lineRule="auto"/>
        <w:ind w:left="1080"/>
        <w:jc w:val="both"/>
        <w:rPr>
          <w:rFonts w:eastAsia="Times New Roman" w:cstheme="minorHAnsi"/>
        </w:rPr>
      </w:pPr>
      <w:r w:rsidRPr="003646DB">
        <w:rPr>
          <w:rFonts w:eastAsia="Times New Roman" w:cstheme="minorHAnsi"/>
        </w:rPr>
        <w:t xml:space="preserve">While the quoted fatwa deems cryptocurrencies impermissible, it notes that regulated and authorities-adopted cryptocurrencies may become permissible. </w:t>
      </w:r>
    </w:p>
    <w:p w14:paraId="5579C4AB" w14:textId="77777777" w:rsidR="003646DB" w:rsidRPr="003646DB" w:rsidRDefault="003646DB" w:rsidP="00EB675D">
      <w:pPr>
        <w:spacing w:after="0" w:line="240" w:lineRule="auto"/>
        <w:ind w:left="360"/>
        <w:jc w:val="both"/>
        <w:rPr>
          <w:rFonts w:eastAsia="Times New Roman" w:cstheme="minorHAnsi"/>
        </w:rPr>
      </w:pPr>
    </w:p>
    <w:p w14:paraId="4BBFEBC5" w14:textId="29111514" w:rsidR="003646DB" w:rsidRPr="003646DB" w:rsidRDefault="003646DB" w:rsidP="00EB675D">
      <w:pPr>
        <w:numPr>
          <w:ilvl w:val="0"/>
          <w:numId w:val="165"/>
        </w:numPr>
        <w:spacing w:after="0" w:line="240" w:lineRule="auto"/>
        <w:ind w:left="1080"/>
        <w:jc w:val="both"/>
        <w:rPr>
          <w:rFonts w:eastAsia="Times New Roman" w:cstheme="minorHAnsi"/>
        </w:rPr>
      </w:pPr>
      <w:hyperlink r:id="rId13" w:history="1">
        <w:r w:rsidRPr="003646DB">
          <w:rPr>
            <w:rStyle w:val="Hyperlink"/>
            <w:rFonts w:eastAsia="Times New Roman" w:cstheme="minorHAnsi"/>
            <w:color w:val="FF6E00"/>
          </w:rPr>
          <w:t>Law No. 4 of 2022</w:t>
        </w:r>
      </w:hyperlink>
      <w:r w:rsidRPr="003646DB">
        <w:rPr>
          <w:rFonts w:eastAsia="Times New Roman" w:cstheme="minorHAnsi"/>
        </w:rPr>
        <w:t xml:space="preserve">: Regulating Virtual Assets in the Emirate of Dubai was enacted to establish </w:t>
      </w:r>
      <w:proofErr w:type="gramStart"/>
      <w:r w:rsidRPr="003646DB">
        <w:rPr>
          <w:rFonts w:eastAsia="Times New Roman" w:cstheme="minorHAnsi"/>
        </w:rPr>
        <w:t>regulatory</w:t>
      </w:r>
      <w:proofErr w:type="gramEnd"/>
      <w:r w:rsidRPr="003646DB">
        <w:rPr>
          <w:rFonts w:eastAsia="Times New Roman" w:cstheme="minorHAnsi"/>
        </w:rPr>
        <w:t xml:space="preserve"> framework governing activities and operations related to virtual assets. The Objective was to regulate and oversee the issuance, offering, and relevant disclosure processes of virtual assets and virtual tokens in Dubai.</w:t>
      </w:r>
    </w:p>
    <w:p w14:paraId="1CC4B7D1" w14:textId="77777777" w:rsidR="003646DB" w:rsidRPr="003646DB" w:rsidRDefault="003646DB" w:rsidP="00EB675D">
      <w:pPr>
        <w:spacing w:after="0" w:line="240" w:lineRule="auto"/>
        <w:ind w:left="720"/>
        <w:jc w:val="both"/>
        <w:rPr>
          <w:rFonts w:eastAsia="Times New Roman" w:cstheme="minorHAnsi"/>
        </w:rPr>
      </w:pPr>
    </w:p>
    <w:p w14:paraId="41CC844C" w14:textId="6A6E6B23" w:rsidR="003646DB" w:rsidRPr="003646DB" w:rsidRDefault="003646DB" w:rsidP="00EB675D">
      <w:pPr>
        <w:numPr>
          <w:ilvl w:val="0"/>
          <w:numId w:val="165"/>
        </w:numPr>
        <w:spacing w:after="0" w:line="240" w:lineRule="auto"/>
        <w:ind w:left="1080"/>
        <w:jc w:val="both"/>
        <w:rPr>
          <w:rFonts w:eastAsia="Times New Roman" w:cstheme="minorHAnsi"/>
        </w:rPr>
      </w:pPr>
      <w:hyperlink r:id="rId14" w:anchor=":~:text=It%20is%20prohibited%20for%20any,the%20provisions%20of%20this%20resolution" w:history="1">
        <w:r w:rsidRPr="003646DB">
          <w:rPr>
            <w:rStyle w:val="Hyperlink"/>
            <w:rFonts w:eastAsia="Times New Roman" w:cstheme="minorHAnsi"/>
            <w:color w:val="FF6E00"/>
          </w:rPr>
          <w:t>Cabinet Resolution No. 111/2022</w:t>
        </w:r>
      </w:hyperlink>
      <w:r w:rsidRPr="003646DB">
        <w:rPr>
          <w:rFonts w:eastAsia="Times New Roman" w:cstheme="minorHAnsi"/>
        </w:rPr>
        <w:t>: Regulating Virtual Assets and their Service Providers was brought out to regulate virtual assets and their service providers in the UAE, to put in place legislation, to define and ensure the rights and duties of all relevant parties, regulate the virtual asset sector, comply with provisions related to Combating Money Laundering and the Financing of Terrorism and Illegal Organisations.</w:t>
      </w:r>
    </w:p>
    <w:p w14:paraId="5DFC3A5D" w14:textId="77777777" w:rsidR="003646DB" w:rsidRPr="003646DB" w:rsidRDefault="003646DB" w:rsidP="00EB675D">
      <w:pPr>
        <w:spacing w:after="0" w:line="240" w:lineRule="auto"/>
        <w:ind w:left="720"/>
        <w:jc w:val="both"/>
        <w:rPr>
          <w:rFonts w:eastAsia="Times New Roman" w:cstheme="minorHAnsi"/>
        </w:rPr>
      </w:pPr>
    </w:p>
    <w:p w14:paraId="3057EB10" w14:textId="22030F4B" w:rsidR="003646DB" w:rsidRPr="003646DB" w:rsidRDefault="003646DB" w:rsidP="00EB675D">
      <w:pPr>
        <w:numPr>
          <w:ilvl w:val="0"/>
          <w:numId w:val="165"/>
        </w:numPr>
        <w:spacing w:after="0" w:line="240" w:lineRule="auto"/>
        <w:ind w:left="1080"/>
        <w:jc w:val="both"/>
        <w:rPr>
          <w:rFonts w:eastAsia="Times New Roman" w:cstheme="minorHAnsi"/>
        </w:rPr>
      </w:pPr>
      <w:hyperlink r:id="rId15" w:history="1">
        <w:r w:rsidRPr="003646DB">
          <w:rPr>
            <w:rStyle w:val="Hyperlink"/>
            <w:rFonts w:eastAsia="Times New Roman" w:cstheme="minorHAnsi"/>
            <w:color w:val="FF6E00"/>
          </w:rPr>
          <w:t>Cabinet Decision No. 112/2022</w:t>
        </w:r>
      </w:hyperlink>
      <w:r w:rsidRPr="003646DB">
        <w:rPr>
          <w:rFonts w:eastAsia="Times New Roman" w:cstheme="minorHAnsi"/>
        </w:rPr>
        <w:t>: Was issued to delegate certain competencies related to the regulation of Virtual Assets to the Dubai VARA, to ensure proper implementation of the provisions of Cabinet Decision No. 111/2022 as well as to establish a unified and appropriate work mechanism to regulate the process of supervision and control over VASPs licensed by the Dubai VARA, and the mechanism for sharing fees, commissions, and fines.</w:t>
      </w:r>
    </w:p>
    <w:p w14:paraId="37E18028" w14:textId="77777777" w:rsidR="003646DB" w:rsidRPr="003646DB" w:rsidRDefault="003646DB" w:rsidP="00EB675D">
      <w:pPr>
        <w:spacing w:after="0" w:line="240" w:lineRule="auto"/>
        <w:ind w:left="720"/>
        <w:jc w:val="both"/>
        <w:rPr>
          <w:rFonts w:eastAsia="Times New Roman" w:cstheme="minorHAnsi"/>
        </w:rPr>
      </w:pPr>
    </w:p>
    <w:p w14:paraId="60FE52F9" w14:textId="0AEC303B" w:rsidR="003646DB" w:rsidRPr="003646DB" w:rsidRDefault="003646DB" w:rsidP="00EB675D">
      <w:pPr>
        <w:numPr>
          <w:ilvl w:val="0"/>
          <w:numId w:val="165"/>
        </w:numPr>
        <w:spacing w:after="0" w:line="240" w:lineRule="auto"/>
        <w:ind w:left="1080"/>
        <w:jc w:val="both"/>
        <w:rPr>
          <w:rFonts w:eastAsia="Times New Roman" w:cstheme="minorHAnsi"/>
        </w:rPr>
      </w:pPr>
      <w:hyperlink r:id="rId16" w:history="1">
        <w:r w:rsidRPr="003646DB">
          <w:rPr>
            <w:rStyle w:val="Hyperlink"/>
            <w:rFonts w:eastAsia="Times New Roman" w:cstheme="minorHAnsi"/>
            <w:color w:val="FF6E00"/>
          </w:rPr>
          <w:t>Administrative Order No.01/2022</w:t>
        </w:r>
      </w:hyperlink>
      <w:r w:rsidRPr="003646DB">
        <w:rPr>
          <w:rFonts w:eastAsia="Times New Roman" w:cstheme="minorHAnsi"/>
        </w:rPr>
        <w:t>: issued by the Dubai VARA in January 2022, aimed to regulate marketing, advertising, and promotional activities related to virtual assets within Dubai. This order introduced key definitions and applied to all forms of marketing, promotional, and advertising content connected to virtual assets or virtual asset-related activities. It outlined various compliance requirements for entities involved in such activities and granted VARA the authority to take corrective measures in case of non-compliance. These measures included the right to suspend marketing activities, impose fines, or revoke the licenses of entities that failed to meet the prescribed standards. In 2023, the regulations governing marketing activities were updated and revised as part of VARA's Marketing and Promotions Rules, expanding the scope of marketing regulations to ensure enhanced transparency and consumer protection. These revised rules will take effect from October 1, 2024.</w:t>
      </w:r>
    </w:p>
    <w:p w14:paraId="17C20F7F" w14:textId="77777777" w:rsidR="003646DB" w:rsidRPr="003646DB" w:rsidRDefault="003646DB" w:rsidP="00EB675D">
      <w:pPr>
        <w:spacing w:after="0" w:line="240" w:lineRule="auto"/>
        <w:ind w:left="720"/>
        <w:jc w:val="both"/>
        <w:rPr>
          <w:rFonts w:eastAsia="Times New Roman" w:cstheme="minorHAnsi"/>
        </w:rPr>
      </w:pPr>
    </w:p>
    <w:p w14:paraId="0AD94A57" w14:textId="39BFB76A" w:rsidR="003646DB" w:rsidRPr="003646DB" w:rsidRDefault="003646DB" w:rsidP="00EB675D">
      <w:pPr>
        <w:numPr>
          <w:ilvl w:val="0"/>
          <w:numId w:val="165"/>
        </w:numPr>
        <w:spacing w:after="0" w:line="240" w:lineRule="auto"/>
        <w:ind w:left="1080"/>
        <w:jc w:val="both"/>
        <w:rPr>
          <w:rFonts w:eastAsia="Times New Roman" w:cstheme="minorHAnsi"/>
        </w:rPr>
      </w:pPr>
      <w:hyperlink r:id="rId17" w:history="1">
        <w:r w:rsidRPr="003646DB">
          <w:rPr>
            <w:rStyle w:val="Hyperlink"/>
            <w:rFonts w:eastAsia="Times New Roman" w:cstheme="minorHAnsi"/>
            <w:color w:val="FF6E00"/>
          </w:rPr>
          <w:t>Administrative Order No.02/2022</w:t>
        </w:r>
      </w:hyperlink>
      <w:r w:rsidRPr="003646DB">
        <w:rPr>
          <w:rFonts w:eastAsia="Times New Roman" w:cstheme="minorHAnsi"/>
        </w:rPr>
        <w:t>: issued in March 2022, built upon the marketing regulations established under the Dubai Virtual Asset Law, ensuring that marketing and advertising related to virtual assets are conducted in a manner that is non-misleading and compliant with VARA's standards. The primary objective of this order was to safeguard consumers from deceptive marketing practices while promoting fair advertising in the virtual asset space. The penalties for non-compliance were stringent, allowing VARA to impose fines of up to AED 200,000 for each violation, suspend marketing activities for up to six months, revoke any licenses issued by VARA, and require entities to make public statements acknowledging their violations. These provisions have also been updated in alignment with the broader Virtual Assets and Related Activities Regulations 2023, with the new rules scheduled to be enforced starting October 1, 2024.</w:t>
      </w:r>
    </w:p>
    <w:p w14:paraId="4D059EDB" w14:textId="77777777" w:rsidR="003646DB" w:rsidRPr="003646DB" w:rsidRDefault="003646DB" w:rsidP="00EB675D">
      <w:pPr>
        <w:spacing w:after="0" w:line="240" w:lineRule="auto"/>
        <w:ind w:left="720"/>
        <w:jc w:val="both"/>
        <w:rPr>
          <w:rFonts w:eastAsia="Times New Roman" w:cstheme="minorHAnsi"/>
        </w:rPr>
      </w:pPr>
    </w:p>
    <w:p w14:paraId="3A4A65BC" w14:textId="4FE420D3" w:rsidR="003646DB" w:rsidRPr="00EB675D" w:rsidRDefault="003646DB" w:rsidP="00EB675D">
      <w:pPr>
        <w:numPr>
          <w:ilvl w:val="0"/>
          <w:numId w:val="165"/>
        </w:numPr>
        <w:spacing w:after="0" w:line="240" w:lineRule="auto"/>
        <w:ind w:left="1080"/>
        <w:jc w:val="both"/>
        <w:rPr>
          <w:rFonts w:eastAsia="Times New Roman" w:cstheme="minorHAnsi"/>
        </w:rPr>
      </w:pPr>
      <w:hyperlink r:id="rId18" w:history="1">
        <w:r w:rsidRPr="003646DB">
          <w:rPr>
            <w:rStyle w:val="Hyperlink"/>
            <w:rFonts w:eastAsia="Times New Roman" w:cstheme="minorHAnsi"/>
            <w:color w:val="FF6E00"/>
          </w:rPr>
          <w:t>The Virtual Assets and Related Activities Regulations 2023</w:t>
        </w:r>
      </w:hyperlink>
      <w:r w:rsidRPr="003646DB">
        <w:rPr>
          <w:rFonts w:eastAsia="Times New Roman" w:cstheme="minorHAnsi"/>
        </w:rPr>
        <w:t>: were initially issued on February 7, 2023, to establish a comprehensive regulatory framework for VASPs. These regulations were designed to address licensing, compliance, market conduct, and consumer protection in the virtual asset sector. Supervision and enforcement by VARA included oversight, examination, and the authority to investigate and impose fines for non-compliance with anti-money laundering and counter-terrorism financing obligations. It established a compliance framework with clear obligations, marketing regulations, and enforcement measures to maintain market integrity. Information protection was prioritised, extending to safeguarding against unauthorised disclosure or use.</w:t>
      </w:r>
    </w:p>
    <w:p w14:paraId="532DB410" w14:textId="77777777" w:rsidR="003646DB" w:rsidRPr="00EB675D" w:rsidRDefault="003646DB" w:rsidP="00EB675D">
      <w:pPr>
        <w:pStyle w:val="ListParagraph"/>
        <w:spacing w:after="0" w:line="240" w:lineRule="auto"/>
        <w:ind w:left="1080"/>
        <w:rPr>
          <w:rFonts w:eastAsia="Times New Roman" w:cstheme="minorHAnsi"/>
        </w:rPr>
      </w:pPr>
    </w:p>
    <w:p w14:paraId="4488B7B1" w14:textId="121492A4" w:rsidR="003646DB" w:rsidRPr="003646DB" w:rsidRDefault="003646DB" w:rsidP="00EB675D">
      <w:pPr>
        <w:spacing w:after="0" w:line="240" w:lineRule="auto"/>
        <w:ind w:left="1080"/>
        <w:jc w:val="both"/>
        <w:rPr>
          <w:rFonts w:eastAsia="Times New Roman" w:cstheme="minorHAnsi"/>
        </w:rPr>
      </w:pPr>
      <w:r w:rsidRPr="003646DB">
        <w:rPr>
          <w:rFonts w:eastAsia="Times New Roman" w:cstheme="minorHAnsi"/>
        </w:rPr>
        <w:t>Since their issuance, these Regulations have undergone several amendments. It includes expanded definitions that now cover a broader range of services, such as advisory roles, decentralised finance (</w:t>
      </w:r>
      <w:r w:rsidRPr="003646DB">
        <w:rPr>
          <w:rFonts w:eastAsia="Times New Roman" w:cstheme="minorHAnsi"/>
          <w:b/>
          <w:bCs/>
        </w:rPr>
        <w:t>DeFi</w:t>
      </w:r>
      <w:r w:rsidRPr="003646DB">
        <w:rPr>
          <w:rFonts w:eastAsia="Times New Roman" w:cstheme="minorHAnsi"/>
        </w:rPr>
        <w:t xml:space="preserve">), and custodial services. In addition, stricter marketing regulations have been introduced, focusing on transparency and consumer protection. These rules require entities to clearly disclose risks associated with virtual assets in all marketing materials, ensuring that consumers are well-informed. Furthermore, new licensing requirements have been established, obliging all entities engaged in virtual asset marketing to obtain specific licenses tailored to their activities. The updated framework also introduces a graduated penalty system, categorising breaches based on severity, with corresponding penalties designed to enforce compliance effectively. These penalties range from fines to more severe measures such as </w:t>
      </w:r>
      <w:proofErr w:type="gramStart"/>
      <w:r w:rsidRPr="003646DB">
        <w:rPr>
          <w:rFonts w:eastAsia="Times New Roman" w:cstheme="minorHAnsi"/>
        </w:rPr>
        <w:t>the suspension</w:t>
      </w:r>
      <w:proofErr w:type="gramEnd"/>
      <w:r w:rsidRPr="003646DB">
        <w:rPr>
          <w:rFonts w:eastAsia="Times New Roman" w:cstheme="minorHAnsi"/>
        </w:rPr>
        <w:t xml:space="preserve"> or revocation of licenses, depending on the </w:t>
      </w:r>
      <w:r w:rsidRPr="003646DB">
        <w:rPr>
          <w:rFonts w:eastAsia="Times New Roman" w:cstheme="minorHAnsi"/>
        </w:rPr>
        <w:lastRenderedPageBreak/>
        <w:t>nature of the violation. The latest amendments to the VARA Regulations are scheduled for enforcement on October 1, 2024.</w:t>
      </w:r>
    </w:p>
    <w:p w14:paraId="4BFBCE8D" w14:textId="77777777" w:rsidR="003646DB" w:rsidRPr="003646DB" w:rsidRDefault="003646DB" w:rsidP="00EB675D">
      <w:pPr>
        <w:spacing w:after="0" w:line="240" w:lineRule="auto"/>
        <w:ind w:left="360"/>
        <w:jc w:val="both"/>
        <w:rPr>
          <w:rFonts w:eastAsia="Times New Roman" w:cstheme="minorHAnsi"/>
        </w:rPr>
      </w:pPr>
    </w:p>
    <w:p w14:paraId="162FDB7B"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Compulsory Rulebooks</w:t>
      </w:r>
    </w:p>
    <w:p w14:paraId="0DC438D7" w14:textId="77777777" w:rsidR="003646DB" w:rsidRPr="003646DB" w:rsidRDefault="003646DB" w:rsidP="00EB675D">
      <w:pPr>
        <w:spacing w:after="0" w:line="240" w:lineRule="auto"/>
        <w:ind w:left="360"/>
        <w:jc w:val="both"/>
        <w:rPr>
          <w:rFonts w:eastAsia="Times New Roman" w:cstheme="minorHAnsi"/>
          <w:u w:val="single"/>
        </w:rPr>
      </w:pPr>
    </w:p>
    <w:p w14:paraId="4503B282" w14:textId="58D71F99" w:rsidR="003646DB" w:rsidRPr="003646DB" w:rsidRDefault="003646DB" w:rsidP="00EB675D">
      <w:pPr>
        <w:numPr>
          <w:ilvl w:val="0"/>
          <w:numId w:val="163"/>
        </w:numPr>
        <w:spacing w:after="0" w:line="240" w:lineRule="auto"/>
        <w:ind w:left="1080"/>
        <w:jc w:val="both"/>
        <w:rPr>
          <w:rFonts w:eastAsia="Times New Roman" w:cstheme="minorHAnsi"/>
        </w:rPr>
      </w:pPr>
      <w:hyperlink r:id="rId19" w:history="1">
        <w:r w:rsidRPr="003646DB">
          <w:rPr>
            <w:rStyle w:val="Hyperlink"/>
            <w:rFonts w:eastAsia="Times New Roman" w:cstheme="minorHAnsi"/>
            <w:color w:val="FF6E00"/>
          </w:rPr>
          <w:t>The Company Rulebook</w:t>
        </w:r>
      </w:hyperlink>
      <w:r w:rsidRPr="003646DB">
        <w:rPr>
          <w:rFonts w:eastAsia="Times New Roman" w:cstheme="minorHAnsi"/>
        </w:rPr>
        <w:t xml:space="preserve">: Governing VASPs licensed by the VARA in Dubai, explains crucial requirements for company operations. The rules state that VASP Boards need qualified individuals overseeing procedures, and Senior Management must be qualified, working under Board direction. Outsourcing deals should cover notice periods, finances, and service standards. Policies addressing conflicts of interest and regular fitness assessments for staff are important. For transactions with related parties, monthly reports to VARA are required, with document submission if requested. VARA can revoke or suspend approvals </w:t>
      </w:r>
      <w:proofErr w:type="gramStart"/>
      <w:r w:rsidRPr="003646DB">
        <w:rPr>
          <w:rFonts w:eastAsia="Times New Roman" w:cstheme="minorHAnsi"/>
        </w:rPr>
        <w:t>if</w:t>
      </w:r>
      <w:proofErr w:type="gramEnd"/>
      <w:r w:rsidRPr="003646DB">
        <w:rPr>
          <w:rFonts w:eastAsia="Times New Roman" w:cstheme="minorHAnsi"/>
        </w:rPr>
        <w:t xml:space="preserve"> fit and proper requirements aren't met by individuals or VASPs.</w:t>
      </w:r>
    </w:p>
    <w:p w14:paraId="39E4013D" w14:textId="77777777" w:rsidR="003646DB" w:rsidRPr="003646DB" w:rsidRDefault="003646DB" w:rsidP="00EB675D">
      <w:pPr>
        <w:spacing w:after="0" w:line="240" w:lineRule="auto"/>
        <w:ind w:left="720"/>
        <w:jc w:val="both"/>
        <w:rPr>
          <w:rFonts w:eastAsia="Times New Roman" w:cstheme="minorHAnsi"/>
        </w:rPr>
      </w:pPr>
    </w:p>
    <w:p w14:paraId="7B105D18" w14:textId="6F54F592" w:rsidR="003646DB" w:rsidRPr="003646DB" w:rsidRDefault="003646DB" w:rsidP="00EB675D">
      <w:pPr>
        <w:numPr>
          <w:ilvl w:val="0"/>
          <w:numId w:val="163"/>
        </w:numPr>
        <w:spacing w:after="0" w:line="240" w:lineRule="auto"/>
        <w:ind w:left="1080"/>
        <w:jc w:val="both"/>
        <w:rPr>
          <w:rFonts w:eastAsia="Times New Roman" w:cstheme="minorHAnsi"/>
        </w:rPr>
      </w:pPr>
      <w:hyperlink r:id="rId20" w:history="1">
        <w:r w:rsidRPr="003646DB">
          <w:rPr>
            <w:rStyle w:val="Hyperlink"/>
            <w:rFonts w:eastAsia="Times New Roman" w:cstheme="minorHAnsi"/>
            <w:color w:val="FF6E00"/>
          </w:rPr>
          <w:t>The Compliance and Risk Management Rulebook</w:t>
        </w:r>
      </w:hyperlink>
      <w:r w:rsidRPr="003646DB">
        <w:rPr>
          <w:rFonts w:eastAsia="Times New Roman" w:cstheme="minorHAnsi"/>
        </w:rPr>
        <w:t>: Covers general principles for managing compliance risks, mandates effective compliance systems, and designates duties for the Compliance Officer. In addressing Anti-Money Laundering (</w:t>
      </w:r>
      <w:r w:rsidRPr="003646DB">
        <w:rPr>
          <w:rFonts w:eastAsia="Times New Roman" w:cstheme="minorHAnsi"/>
          <w:b/>
          <w:bCs/>
        </w:rPr>
        <w:t>AML</w:t>
      </w:r>
      <w:r w:rsidRPr="003646DB">
        <w:rPr>
          <w:rFonts w:eastAsia="Times New Roman" w:cstheme="minorHAnsi"/>
        </w:rPr>
        <w:t>) and Combating the Financing of Terrorism (</w:t>
      </w:r>
      <w:r w:rsidRPr="003646DB">
        <w:rPr>
          <w:rFonts w:eastAsia="Times New Roman" w:cstheme="minorHAnsi"/>
          <w:b/>
          <w:bCs/>
        </w:rPr>
        <w:t>CFT</w:t>
      </w:r>
      <w:r w:rsidRPr="003646DB">
        <w:rPr>
          <w:rFonts w:eastAsia="Times New Roman" w:cstheme="minorHAnsi"/>
        </w:rPr>
        <w:t>), it requires a Money Laundering Reporting Officer (</w:t>
      </w:r>
      <w:r w:rsidRPr="003646DB">
        <w:rPr>
          <w:rFonts w:eastAsia="Times New Roman" w:cstheme="minorHAnsi"/>
          <w:b/>
          <w:bCs/>
        </w:rPr>
        <w:t>MLRO</w:t>
      </w:r>
      <w:r w:rsidRPr="003646DB">
        <w:rPr>
          <w:rFonts w:eastAsia="Times New Roman" w:cstheme="minorHAnsi"/>
        </w:rPr>
        <w:t xml:space="preserve">) and sets criteria for client due diligence. The Rulebook also prohibits corrupt payments, emphasising strict compliance with anti-bribery and corruption rules. </w:t>
      </w:r>
    </w:p>
    <w:p w14:paraId="3DD05D0D" w14:textId="77777777" w:rsidR="003646DB" w:rsidRPr="003646DB" w:rsidRDefault="003646DB" w:rsidP="00EB675D">
      <w:pPr>
        <w:spacing w:after="0" w:line="240" w:lineRule="auto"/>
        <w:ind w:left="720"/>
        <w:jc w:val="both"/>
        <w:rPr>
          <w:rFonts w:eastAsia="Times New Roman" w:cstheme="minorHAnsi"/>
        </w:rPr>
      </w:pPr>
    </w:p>
    <w:p w14:paraId="7D8E94F5" w14:textId="30CAB9BD" w:rsidR="003646DB" w:rsidRPr="003646DB" w:rsidRDefault="003646DB" w:rsidP="00EB675D">
      <w:pPr>
        <w:numPr>
          <w:ilvl w:val="0"/>
          <w:numId w:val="163"/>
        </w:numPr>
        <w:spacing w:after="0" w:line="240" w:lineRule="auto"/>
        <w:ind w:left="1080"/>
        <w:jc w:val="both"/>
        <w:rPr>
          <w:rFonts w:eastAsia="Times New Roman" w:cstheme="minorHAnsi"/>
        </w:rPr>
      </w:pPr>
      <w:hyperlink r:id="rId21" w:history="1">
        <w:r w:rsidRPr="003646DB">
          <w:rPr>
            <w:rStyle w:val="Hyperlink"/>
            <w:rFonts w:eastAsia="Times New Roman" w:cstheme="minorHAnsi"/>
            <w:color w:val="FF6E00"/>
          </w:rPr>
          <w:t>The Technology and Information Rulebook</w:t>
        </w:r>
      </w:hyperlink>
      <w:r w:rsidRPr="003646DB">
        <w:rPr>
          <w:rFonts w:eastAsia="Times New Roman" w:cstheme="minorHAnsi"/>
        </w:rPr>
        <w:t>: Is designed to enhance safety for VASPs and protect individuals during virtual asset transactions. It establishes mandatory requirements across three parts: Part I focuses on technology governance and security measures, including cybersecurity policies and virtual asset transaction security; Part II addresses personal data protection, ensuring compliance with relevant laws and regulations; and Part III outlines guidelines for VASPs to use and protect confidential information.</w:t>
      </w:r>
    </w:p>
    <w:p w14:paraId="61F58804" w14:textId="77777777" w:rsidR="003646DB" w:rsidRPr="003646DB" w:rsidRDefault="003646DB" w:rsidP="00EB675D">
      <w:pPr>
        <w:spacing w:after="0" w:line="240" w:lineRule="auto"/>
        <w:ind w:left="720"/>
        <w:jc w:val="both"/>
        <w:rPr>
          <w:rFonts w:eastAsia="Times New Roman" w:cstheme="minorHAnsi"/>
        </w:rPr>
      </w:pPr>
    </w:p>
    <w:p w14:paraId="236FFBF7" w14:textId="2BD96ACD" w:rsidR="003646DB" w:rsidRPr="003646DB" w:rsidRDefault="003646DB" w:rsidP="00EB675D">
      <w:pPr>
        <w:numPr>
          <w:ilvl w:val="0"/>
          <w:numId w:val="163"/>
        </w:numPr>
        <w:spacing w:after="0" w:line="240" w:lineRule="auto"/>
        <w:ind w:left="1080"/>
        <w:jc w:val="both"/>
        <w:rPr>
          <w:rFonts w:eastAsia="Times New Roman" w:cstheme="minorHAnsi"/>
        </w:rPr>
      </w:pPr>
      <w:hyperlink r:id="rId22" w:history="1">
        <w:r w:rsidRPr="003646DB">
          <w:rPr>
            <w:rStyle w:val="Hyperlink"/>
            <w:rFonts w:eastAsia="Times New Roman" w:cstheme="minorHAnsi"/>
            <w:color w:val="FF6E00"/>
          </w:rPr>
          <w:t>The Market Conduct Rulebook</w:t>
        </w:r>
      </w:hyperlink>
      <w:r w:rsidRPr="003646DB">
        <w:rPr>
          <w:rFonts w:eastAsia="Times New Roman" w:cstheme="minorHAnsi"/>
          <w:u w:val="single"/>
        </w:rPr>
        <w:t>:</w:t>
      </w:r>
      <w:r w:rsidRPr="003646DB">
        <w:rPr>
          <w:rFonts w:eastAsia="Times New Roman" w:cstheme="minorHAnsi"/>
        </w:rPr>
        <w:t xml:space="preserve"> Sets specific guidelines for VASPs</w:t>
      </w:r>
      <w:r w:rsidR="00331B37">
        <w:rPr>
          <w:rFonts w:eastAsia="Times New Roman" w:cstheme="minorHAnsi"/>
        </w:rPr>
        <w:t xml:space="preserve"> </w:t>
      </w:r>
      <w:r w:rsidRPr="003646DB">
        <w:rPr>
          <w:rFonts w:eastAsia="Times New Roman" w:cstheme="minorHAnsi"/>
        </w:rPr>
        <w:t xml:space="preserve">to regulate their behavior, focuses on marketing regulations, client agreements, and complaints handling. The Rulebook defines who can invest in virtual assets and requires VASPs to disclose key information publicly. Market transparency is emphasised, prohibiting VASPs from trading virtual assets for their own accounts without authorisation from </w:t>
      </w:r>
      <w:proofErr w:type="gramStart"/>
      <w:r w:rsidRPr="003646DB">
        <w:rPr>
          <w:rFonts w:eastAsia="Times New Roman" w:cstheme="minorHAnsi"/>
        </w:rPr>
        <w:t>the VARA</w:t>
      </w:r>
      <w:proofErr w:type="gramEnd"/>
      <w:r w:rsidRPr="003646DB">
        <w:rPr>
          <w:rFonts w:eastAsia="Times New Roman" w:cstheme="minorHAnsi"/>
        </w:rPr>
        <w:t xml:space="preserve">. </w:t>
      </w:r>
    </w:p>
    <w:p w14:paraId="1A21E589" w14:textId="77777777" w:rsidR="003646DB" w:rsidRPr="003646DB" w:rsidRDefault="003646DB" w:rsidP="00EB675D">
      <w:pPr>
        <w:spacing w:after="0" w:line="240" w:lineRule="auto"/>
        <w:ind w:left="360"/>
        <w:jc w:val="both"/>
        <w:rPr>
          <w:rFonts w:eastAsia="Times New Roman" w:cstheme="minorHAnsi"/>
        </w:rPr>
      </w:pPr>
    </w:p>
    <w:p w14:paraId="216F7218"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VA Activity and other Service Rulebooks</w:t>
      </w:r>
    </w:p>
    <w:p w14:paraId="67037525" w14:textId="77777777" w:rsidR="003646DB" w:rsidRPr="003646DB" w:rsidRDefault="003646DB" w:rsidP="00EB675D">
      <w:pPr>
        <w:spacing w:after="0" w:line="240" w:lineRule="auto"/>
        <w:ind w:left="360"/>
        <w:jc w:val="both"/>
        <w:rPr>
          <w:rFonts w:eastAsia="Times New Roman" w:cstheme="minorHAnsi"/>
          <w:u w:val="single"/>
        </w:rPr>
      </w:pPr>
    </w:p>
    <w:p w14:paraId="4B78B479" w14:textId="7FD1C0F5" w:rsidR="003646DB" w:rsidRPr="003646DB" w:rsidRDefault="003646DB" w:rsidP="00EB675D">
      <w:pPr>
        <w:numPr>
          <w:ilvl w:val="0"/>
          <w:numId w:val="164"/>
        </w:numPr>
        <w:spacing w:after="0" w:line="240" w:lineRule="auto"/>
        <w:ind w:left="1080"/>
        <w:jc w:val="both"/>
        <w:rPr>
          <w:rFonts w:eastAsia="Times New Roman" w:cstheme="minorHAnsi"/>
        </w:rPr>
      </w:pPr>
      <w:hyperlink r:id="rId23" w:history="1">
        <w:r w:rsidRPr="003646DB">
          <w:rPr>
            <w:rStyle w:val="Hyperlink"/>
            <w:rFonts w:eastAsia="Times New Roman" w:cstheme="minorHAnsi"/>
            <w:color w:val="FF6E00"/>
          </w:rPr>
          <w:t>The Advisory Services Rulebook</w:t>
        </w:r>
      </w:hyperlink>
      <w:r w:rsidRPr="003646DB">
        <w:rPr>
          <w:rFonts w:eastAsia="Times New Roman" w:cstheme="minorHAnsi"/>
        </w:rPr>
        <w:t>: For VASPs</w:t>
      </w:r>
      <w:r w:rsidR="006B69C2">
        <w:rPr>
          <w:rFonts w:eastAsia="Times New Roman" w:cstheme="minorHAnsi"/>
        </w:rPr>
        <w:t xml:space="preserve"> </w:t>
      </w:r>
      <w:r w:rsidRPr="003646DB">
        <w:rPr>
          <w:rFonts w:eastAsia="Times New Roman" w:cstheme="minorHAnsi"/>
        </w:rPr>
        <w:t xml:space="preserve">ensures transparent, client-centric advice and adherence to VARA regulations. It mandates clear risk disclosure, unbiased advice, and the collection of client information for tailored recommendations. The rulebook underscores staff competency, fact-checking for accuracy, and encourages VASPs to assess diverse virtual assets, providing clients with varied investment options. </w:t>
      </w:r>
    </w:p>
    <w:p w14:paraId="70B050CF" w14:textId="77777777" w:rsidR="003646DB" w:rsidRPr="003646DB" w:rsidRDefault="003646DB" w:rsidP="00EB675D">
      <w:pPr>
        <w:spacing w:after="0" w:line="240" w:lineRule="auto"/>
        <w:ind w:left="720"/>
        <w:jc w:val="both"/>
        <w:rPr>
          <w:rFonts w:eastAsia="Times New Roman" w:cstheme="minorHAnsi"/>
        </w:rPr>
      </w:pPr>
    </w:p>
    <w:p w14:paraId="371900A6" w14:textId="6159D236" w:rsidR="003646DB" w:rsidRPr="003646DB" w:rsidRDefault="003646DB" w:rsidP="00EB675D">
      <w:pPr>
        <w:numPr>
          <w:ilvl w:val="0"/>
          <w:numId w:val="164"/>
        </w:numPr>
        <w:spacing w:after="0" w:line="240" w:lineRule="auto"/>
        <w:ind w:left="1080"/>
        <w:jc w:val="both"/>
        <w:rPr>
          <w:rFonts w:eastAsia="Times New Roman" w:cstheme="minorHAnsi"/>
        </w:rPr>
      </w:pPr>
      <w:hyperlink r:id="rId24" w:history="1">
        <w:r w:rsidRPr="003646DB">
          <w:rPr>
            <w:rStyle w:val="Hyperlink"/>
            <w:rFonts w:eastAsia="Times New Roman" w:cstheme="minorHAnsi"/>
            <w:color w:val="FF6E00"/>
          </w:rPr>
          <w:t>The Broker Dealer Service Rulebook</w:t>
        </w:r>
      </w:hyperlink>
      <w:r w:rsidRPr="003646DB">
        <w:rPr>
          <w:rFonts w:eastAsia="Times New Roman" w:cstheme="minorHAnsi"/>
        </w:rPr>
        <w:t xml:space="preserve">: Establishes specific rules and guidelines, focusing on investor protection, fair treatment, and the prevention of abusive practices. The rulebook sets minimum requirements and regulatory obligations for various areas, including best execution, market conduct, technology, information, compliance, risk management, and capital/prudential requirements. Applicable to all Emirate-based VASPs offering broker-dealer services, irrespective of size, the rulebook covers policies and procedures for detecting </w:t>
      </w:r>
      <w:r w:rsidRPr="003646DB">
        <w:rPr>
          <w:rFonts w:eastAsia="Times New Roman" w:cstheme="minorHAnsi"/>
        </w:rPr>
        <w:lastRenderedPageBreak/>
        <w:t xml:space="preserve">and preventing market offenses, ensuring best execution for client orders, and establishing rules for margin trading, including information collection and segregation of client accounts. </w:t>
      </w:r>
    </w:p>
    <w:p w14:paraId="553AA610" w14:textId="77777777" w:rsidR="003646DB" w:rsidRPr="003646DB" w:rsidRDefault="003646DB" w:rsidP="00EB675D">
      <w:pPr>
        <w:spacing w:after="0" w:line="240" w:lineRule="auto"/>
        <w:ind w:left="720"/>
        <w:jc w:val="both"/>
        <w:rPr>
          <w:rFonts w:eastAsia="Times New Roman" w:cstheme="minorHAnsi"/>
        </w:rPr>
      </w:pPr>
    </w:p>
    <w:p w14:paraId="460191C6" w14:textId="4EE3112A" w:rsidR="003646DB" w:rsidRPr="003646DB" w:rsidRDefault="003646DB" w:rsidP="00EB675D">
      <w:pPr>
        <w:numPr>
          <w:ilvl w:val="0"/>
          <w:numId w:val="164"/>
        </w:numPr>
        <w:spacing w:after="0" w:line="240" w:lineRule="auto"/>
        <w:ind w:left="1080"/>
        <w:jc w:val="both"/>
        <w:rPr>
          <w:rFonts w:eastAsia="Times New Roman" w:cstheme="minorHAnsi"/>
        </w:rPr>
      </w:pPr>
      <w:hyperlink r:id="rId25" w:history="1">
        <w:r w:rsidRPr="003646DB">
          <w:rPr>
            <w:rStyle w:val="Hyperlink"/>
            <w:rFonts w:eastAsia="Times New Roman" w:cstheme="minorHAnsi"/>
            <w:color w:val="FF6E00"/>
          </w:rPr>
          <w:t>The Custody Service Rulebook</w:t>
        </w:r>
      </w:hyperlink>
      <w:r w:rsidRPr="003646DB">
        <w:rPr>
          <w:rFonts w:eastAsia="Times New Roman" w:cstheme="minorHAnsi"/>
        </w:rPr>
        <w:t>: It is designed to assist VASPs</w:t>
      </w:r>
      <w:r w:rsidR="00331B37">
        <w:rPr>
          <w:rFonts w:eastAsia="Times New Roman" w:cstheme="minorHAnsi"/>
        </w:rPr>
        <w:t xml:space="preserve"> </w:t>
      </w:r>
      <w:r w:rsidRPr="003646DB">
        <w:rPr>
          <w:rFonts w:eastAsia="Times New Roman" w:cstheme="minorHAnsi"/>
        </w:rPr>
        <w:t>in managing risks associated with custody services. It provides guidelines including a comprehensive framework for the safekeeping of virtual assets, segregation measures to minimise internal failure risks, and operational risk management policies. The Rulebook mandates regular independent internal audits and requires disclosure of client protections, data privacy, client complaints handling, and whistleblowing policies</w:t>
      </w:r>
    </w:p>
    <w:p w14:paraId="45422A3A" w14:textId="77777777" w:rsidR="003646DB" w:rsidRPr="003646DB" w:rsidRDefault="003646DB" w:rsidP="00EB675D">
      <w:pPr>
        <w:spacing w:after="0" w:line="240" w:lineRule="auto"/>
        <w:ind w:left="720"/>
        <w:jc w:val="both"/>
        <w:rPr>
          <w:rFonts w:eastAsia="Times New Roman" w:cstheme="minorHAnsi"/>
        </w:rPr>
      </w:pPr>
    </w:p>
    <w:p w14:paraId="165ACFFC" w14:textId="7816582A" w:rsidR="003646DB" w:rsidRPr="003646DB" w:rsidRDefault="003646DB" w:rsidP="00EB675D">
      <w:pPr>
        <w:numPr>
          <w:ilvl w:val="0"/>
          <w:numId w:val="164"/>
        </w:numPr>
        <w:spacing w:after="0" w:line="240" w:lineRule="auto"/>
        <w:ind w:left="1080"/>
        <w:jc w:val="both"/>
        <w:rPr>
          <w:rFonts w:eastAsia="Times New Roman" w:cstheme="minorHAnsi"/>
        </w:rPr>
      </w:pPr>
      <w:hyperlink r:id="rId26" w:history="1">
        <w:r w:rsidRPr="003646DB">
          <w:rPr>
            <w:rStyle w:val="Hyperlink"/>
            <w:rFonts w:eastAsia="Times New Roman" w:cstheme="minorHAnsi"/>
            <w:color w:val="FF6E00"/>
          </w:rPr>
          <w:t>The Exchange Service Rulebook</w:t>
        </w:r>
      </w:hyperlink>
      <w:r w:rsidRPr="003646DB">
        <w:rPr>
          <w:rFonts w:eastAsia="Times New Roman" w:cstheme="minorHAnsi"/>
        </w:rPr>
        <w:t>: This is a vital set of guidelines for VASPs</w:t>
      </w:r>
      <w:r w:rsidR="00331B37">
        <w:rPr>
          <w:rFonts w:eastAsia="Times New Roman" w:cstheme="minorHAnsi"/>
        </w:rPr>
        <w:t xml:space="preserve"> </w:t>
      </w:r>
      <w:r w:rsidRPr="003646DB">
        <w:rPr>
          <w:rFonts w:eastAsia="Times New Roman" w:cstheme="minorHAnsi"/>
        </w:rPr>
        <w:t>offering Exchange Services in the Emirate of Dubai, impacting crypto traders in the UAE. The rules cover board requirements, internal policies, disclosure of conflicts of interest, client privacy, and complaint handling. They also address Exchange Services rules, including trading venue participants, code of conduct, business continuity, and market surveillance. Specific regulations for margin trading, such as compliance, VARA approval, obligations, prudential requirements, margin agreements, and dispute resolution, are outlined. Overall, these guidelines aim to ensure compliance and risk management in the crypto trading sector in Dubai.</w:t>
      </w:r>
    </w:p>
    <w:p w14:paraId="34E9B304" w14:textId="77777777" w:rsidR="003646DB" w:rsidRPr="003646DB" w:rsidRDefault="003646DB" w:rsidP="00EB675D">
      <w:pPr>
        <w:spacing w:after="0" w:line="240" w:lineRule="auto"/>
        <w:ind w:left="720"/>
        <w:jc w:val="both"/>
        <w:rPr>
          <w:rFonts w:eastAsia="Times New Roman" w:cstheme="minorHAnsi"/>
        </w:rPr>
      </w:pPr>
    </w:p>
    <w:p w14:paraId="04856A56" w14:textId="56525CD3" w:rsidR="003646DB" w:rsidRPr="003646DB" w:rsidRDefault="003646DB" w:rsidP="00EB675D">
      <w:pPr>
        <w:numPr>
          <w:ilvl w:val="0"/>
          <w:numId w:val="164"/>
        </w:numPr>
        <w:spacing w:after="0" w:line="240" w:lineRule="auto"/>
        <w:ind w:left="1080"/>
        <w:jc w:val="both"/>
        <w:rPr>
          <w:rFonts w:eastAsia="Times New Roman" w:cstheme="minorHAnsi"/>
        </w:rPr>
      </w:pPr>
      <w:hyperlink r:id="rId27" w:history="1">
        <w:r w:rsidRPr="003646DB">
          <w:rPr>
            <w:rStyle w:val="Hyperlink"/>
            <w:rFonts w:eastAsia="Times New Roman" w:cstheme="minorHAnsi"/>
            <w:color w:val="FF6E00"/>
          </w:rPr>
          <w:t>The Lending and Borrowing Service Rulebook</w:t>
        </w:r>
      </w:hyperlink>
      <w:r w:rsidRPr="003646DB">
        <w:rPr>
          <w:rFonts w:eastAsia="Times New Roman" w:cstheme="minorHAnsi"/>
        </w:rPr>
        <w:t>: Emphasises risk mitigation through liquidity and collateral standards, reinforced by accountability through regular audits. Key requirements include maintaining sufficient virtual assets, regular collateral monitoring, and notifying clients about non-withdrawable virtual assets. The rulebook also explains reporting practices, due diligence assessments, and independent third-party audits for risk management. Overall, it sets clear guidelines to ensure transparency, risk mitigation, and regulatory compliance in lending and borrowing services provided by VASPs.</w:t>
      </w:r>
    </w:p>
    <w:p w14:paraId="0D4D1C78" w14:textId="77777777" w:rsidR="003646DB" w:rsidRPr="003646DB" w:rsidRDefault="003646DB" w:rsidP="00EB675D">
      <w:pPr>
        <w:spacing w:after="0" w:line="240" w:lineRule="auto"/>
        <w:ind w:left="720"/>
        <w:jc w:val="both"/>
        <w:rPr>
          <w:rFonts w:eastAsia="Times New Roman" w:cstheme="minorHAnsi"/>
        </w:rPr>
      </w:pPr>
    </w:p>
    <w:p w14:paraId="6249D60C" w14:textId="0C413048" w:rsidR="003646DB" w:rsidRPr="003646DB" w:rsidRDefault="003646DB" w:rsidP="00EB675D">
      <w:pPr>
        <w:numPr>
          <w:ilvl w:val="0"/>
          <w:numId w:val="164"/>
        </w:numPr>
        <w:spacing w:after="0" w:line="240" w:lineRule="auto"/>
        <w:ind w:left="1080"/>
        <w:jc w:val="both"/>
        <w:rPr>
          <w:rFonts w:eastAsia="Times New Roman" w:cstheme="minorHAnsi"/>
        </w:rPr>
      </w:pPr>
      <w:hyperlink r:id="rId28" w:history="1">
        <w:r w:rsidRPr="003646DB">
          <w:rPr>
            <w:rStyle w:val="Hyperlink"/>
            <w:rFonts w:eastAsia="Times New Roman" w:cstheme="minorHAnsi"/>
            <w:color w:val="FF6E00"/>
          </w:rPr>
          <w:t>The VA Management and Investment Service Rulebook</w:t>
        </w:r>
      </w:hyperlink>
      <w:r w:rsidRPr="003646DB">
        <w:rPr>
          <w:rFonts w:eastAsia="Times New Roman" w:cstheme="minorHAnsi"/>
        </w:rPr>
        <w:t>: Provides guidelines on client suitability, ensuring VASPs</w:t>
      </w:r>
      <w:r w:rsidR="00331B37">
        <w:rPr>
          <w:rFonts w:eastAsia="Times New Roman" w:cstheme="minorHAnsi"/>
        </w:rPr>
        <w:t xml:space="preserve"> </w:t>
      </w:r>
      <w:r w:rsidRPr="003646DB">
        <w:rPr>
          <w:rFonts w:eastAsia="Times New Roman" w:cstheme="minorHAnsi"/>
        </w:rPr>
        <w:t xml:space="preserve">only serve clients suitable for their services based on experience and financial situation. The rulebook emphasises the importance of written client agreements, covering terms like account termination, asset value fluctuation, and complaint procedures. VASPs are required to disclose all fees transparently to avoid confusion, ensuring they are neither excessive nor unclear. Additionally, the rulebook explains the need for effective risk management, requiring VASPs to monitor and promptly address liquidity and market risks. </w:t>
      </w:r>
    </w:p>
    <w:p w14:paraId="45A57BE0" w14:textId="77777777" w:rsidR="003646DB" w:rsidRPr="003646DB" w:rsidRDefault="003646DB" w:rsidP="00EB675D">
      <w:pPr>
        <w:spacing w:after="0" w:line="240" w:lineRule="auto"/>
        <w:ind w:left="720"/>
        <w:jc w:val="both"/>
        <w:rPr>
          <w:rFonts w:eastAsia="Times New Roman" w:cstheme="minorHAnsi"/>
        </w:rPr>
      </w:pPr>
    </w:p>
    <w:p w14:paraId="788E2154" w14:textId="18588767" w:rsidR="003646DB" w:rsidRPr="003646DB" w:rsidRDefault="003646DB" w:rsidP="00EB675D">
      <w:pPr>
        <w:numPr>
          <w:ilvl w:val="0"/>
          <w:numId w:val="164"/>
        </w:numPr>
        <w:spacing w:after="0" w:line="240" w:lineRule="auto"/>
        <w:ind w:left="1080"/>
        <w:jc w:val="both"/>
        <w:rPr>
          <w:rFonts w:eastAsia="Times New Roman" w:cstheme="minorHAnsi"/>
        </w:rPr>
      </w:pPr>
      <w:hyperlink r:id="rId29" w:history="1">
        <w:r w:rsidRPr="003646DB">
          <w:rPr>
            <w:rStyle w:val="Hyperlink"/>
            <w:rFonts w:eastAsia="Times New Roman" w:cstheme="minorHAnsi"/>
            <w:color w:val="FF6E00"/>
          </w:rPr>
          <w:t>The VA Transfer and Settlement Service Rulebook</w:t>
        </w:r>
      </w:hyperlink>
      <w:r w:rsidRPr="003646DB">
        <w:rPr>
          <w:rFonts w:eastAsia="Times New Roman" w:cstheme="minorHAnsi"/>
        </w:rPr>
        <w:t>: Aims to enhance efficiency and risk awareness in the virtual asset landscape by emphasising policies for rectifying incomplete transfers. Key provisions include addressing non-executed or defectively executed transfers, ensuring client authorisation for all transfers, and maintaining client instruction records for at least eight years. The rulebook also stresses risk disclosure to inform clients about potential issues, such as irreversible transactions and technical difficulties. It emphasises timely execution of transfers and sets clear guidelines for smooth processes, risk awareness, and client protection in virtual asset transfer and settlement services.</w:t>
      </w:r>
    </w:p>
    <w:p w14:paraId="7FA1955D" w14:textId="77777777" w:rsidR="003646DB" w:rsidRPr="003646DB" w:rsidRDefault="003646DB" w:rsidP="00EB675D">
      <w:pPr>
        <w:spacing w:after="0" w:line="240" w:lineRule="auto"/>
        <w:ind w:left="720"/>
        <w:jc w:val="both"/>
        <w:rPr>
          <w:rFonts w:eastAsia="Times New Roman" w:cstheme="minorHAnsi"/>
        </w:rPr>
      </w:pPr>
    </w:p>
    <w:p w14:paraId="74EC08BE" w14:textId="26B23306" w:rsidR="003646DB" w:rsidRPr="003646DB" w:rsidRDefault="003646DB" w:rsidP="00EB675D">
      <w:pPr>
        <w:numPr>
          <w:ilvl w:val="0"/>
          <w:numId w:val="164"/>
        </w:numPr>
        <w:spacing w:after="0" w:line="240" w:lineRule="auto"/>
        <w:ind w:left="1080"/>
        <w:jc w:val="both"/>
        <w:rPr>
          <w:rFonts w:eastAsia="Times New Roman" w:cstheme="minorHAnsi"/>
        </w:rPr>
      </w:pPr>
      <w:hyperlink r:id="rId30" w:history="1">
        <w:r w:rsidRPr="003646DB">
          <w:rPr>
            <w:rStyle w:val="Hyperlink"/>
            <w:rFonts w:eastAsia="Times New Roman" w:cstheme="minorHAnsi"/>
            <w:color w:val="FF6E00"/>
          </w:rPr>
          <w:t>The VA Asset Issuance Rulebook</w:t>
        </w:r>
      </w:hyperlink>
      <w:r w:rsidRPr="003646DB">
        <w:rPr>
          <w:rFonts w:eastAsia="Times New Roman" w:cstheme="minorHAnsi"/>
        </w:rPr>
        <w:t xml:space="preserve">: Sets rules for creating and using virtual assets. It focuses on how issuers should behave, what information they must share in a whitepaper, and the </w:t>
      </w:r>
      <w:r w:rsidRPr="003646DB">
        <w:rPr>
          <w:rFonts w:eastAsia="Times New Roman" w:cstheme="minorHAnsi"/>
        </w:rPr>
        <w:lastRenderedPageBreak/>
        <w:t xml:space="preserve">ongoing rules they must </w:t>
      </w:r>
      <w:proofErr w:type="gramStart"/>
      <w:r w:rsidRPr="003646DB">
        <w:rPr>
          <w:rFonts w:eastAsia="Times New Roman" w:cstheme="minorHAnsi"/>
        </w:rPr>
        <w:t>follow after</w:t>
      </w:r>
      <w:proofErr w:type="gramEnd"/>
      <w:r w:rsidRPr="003646DB">
        <w:rPr>
          <w:rFonts w:eastAsia="Times New Roman" w:cstheme="minorHAnsi"/>
        </w:rPr>
        <w:t xml:space="preserve"> creating virtual assets. The rulebook requires Issuers to get approval and follow specific processes laid down by the VARA. Issuers are not allowed to use virtual assets for illegal activities, and they </w:t>
      </w:r>
      <w:proofErr w:type="gramStart"/>
      <w:r w:rsidRPr="003646DB">
        <w:rPr>
          <w:rFonts w:eastAsia="Times New Roman" w:cstheme="minorHAnsi"/>
        </w:rPr>
        <w:t>have to</w:t>
      </w:r>
      <w:proofErr w:type="gramEnd"/>
      <w:r w:rsidRPr="003646DB">
        <w:rPr>
          <w:rFonts w:eastAsia="Times New Roman" w:cstheme="minorHAnsi"/>
        </w:rPr>
        <w:t xml:space="preserve"> follow rules related to supervision and checks by VARA.</w:t>
      </w:r>
    </w:p>
    <w:p w14:paraId="1E1859E3" w14:textId="77777777" w:rsidR="003646DB" w:rsidRPr="003646DB" w:rsidRDefault="003646DB" w:rsidP="00EB675D">
      <w:pPr>
        <w:spacing w:after="0" w:line="240" w:lineRule="auto"/>
        <w:ind w:left="720"/>
        <w:jc w:val="both"/>
        <w:rPr>
          <w:rFonts w:eastAsia="Times New Roman" w:cstheme="minorHAnsi"/>
        </w:rPr>
      </w:pPr>
    </w:p>
    <w:p w14:paraId="12CAE1CF" w14:textId="3FFE5714" w:rsidR="003646DB" w:rsidRPr="00EB675D" w:rsidRDefault="003646DB" w:rsidP="00EB675D">
      <w:pPr>
        <w:numPr>
          <w:ilvl w:val="0"/>
          <w:numId w:val="164"/>
        </w:numPr>
        <w:spacing w:after="0" w:line="240" w:lineRule="auto"/>
        <w:ind w:left="1080"/>
        <w:jc w:val="both"/>
        <w:rPr>
          <w:rFonts w:eastAsia="Times New Roman" w:cstheme="minorHAnsi"/>
        </w:rPr>
      </w:pPr>
      <w:r w:rsidRPr="003646DB">
        <w:rPr>
          <w:rFonts w:eastAsia="Times New Roman" w:cstheme="minorHAnsi"/>
          <w:u w:val="single"/>
        </w:rPr>
        <w:t>The Fiat Referenced Virtual Asset (</w:t>
      </w:r>
      <w:hyperlink r:id="rId31" w:history="1">
        <w:r w:rsidRPr="003646DB">
          <w:rPr>
            <w:rStyle w:val="Hyperlink"/>
            <w:rFonts w:eastAsia="Times New Roman" w:cstheme="minorHAnsi"/>
            <w:b/>
            <w:bCs/>
            <w:color w:val="FF6E00"/>
          </w:rPr>
          <w:t>FRVA</w:t>
        </w:r>
      </w:hyperlink>
      <w:r w:rsidRPr="003646DB">
        <w:rPr>
          <w:rFonts w:eastAsia="Times New Roman" w:cstheme="minorHAnsi"/>
          <w:u w:val="single"/>
        </w:rPr>
        <w:t>) Rulebook</w:t>
      </w:r>
      <w:r w:rsidRPr="003646DB">
        <w:rPr>
          <w:rFonts w:eastAsia="Times New Roman" w:cstheme="minorHAnsi"/>
        </w:rPr>
        <w:t>: An annexure to the VA Issuance Rulebook, lays out rules for issuing Fiat Referenced Virtual Assets. It covers approval requirements, due diligence, risk management, corporate governance, audits, and reserve assets. The rulebook adds disclosures about reference currency, FRVA creation and redemption policies, and marketing guidelines for transparency. Capital requirements ensure issuer stability, including paid-up capital, net liquid assets, insurance, and VARA-defined needs. Crucially, the rulebook prohibits FRVA issuers from offering incentives for purchasing or holding FRVAs.</w:t>
      </w:r>
    </w:p>
    <w:p w14:paraId="3E652D49" w14:textId="77777777" w:rsidR="00B36B1B" w:rsidRPr="00EB675D" w:rsidRDefault="00B36B1B" w:rsidP="00EB675D">
      <w:pPr>
        <w:spacing w:after="0" w:line="240" w:lineRule="auto"/>
        <w:jc w:val="both"/>
        <w:rPr>
          <w:rFonts w:eastAsia="Times New Roman" w:cstheme="minorHAnsi"/>
          <w:b/>
          <w:bCs/>
          <w:u w:val="single"/>
          <w:lang w:val="en-SG"/>
        </w:rPr>
      </w:pPr>
    </w:p>
    <w:p w14:paraId="0FC549EA" w14:textId="76ADFC16" w:rsidR="00510F00" w:rsidRPr="00EB675D" w:rsidRDefault="009E6883" w:rsidP="001E6213">
      <w:pPr>
        <w:pStyle w:val="Heading2"/>
      </w:pPr>
      <w:bookmarkStart w:id="3" w:name="_Toc194937372"/>
      <w:r w:rsidRPr="00EB675D">
        <w:t>Who do such laws and regulations apply to?</w:t>
      </w:r>
      <w:bookmarkEnd w:id="3"/>
    </w:p>
    <w:p w14:paraId="7F39DB91" w14:textId="77777777" w:rsidR="004311E2" w:rsidRPr="00EB675D" w:rsidRDefault="004311E2" w:rsidP="00EB675D">
      <w:pPr>
        <w:spacing w:after="0" w:line="240" w:lineRule="auto"/>
        <w:ind w:left="360"/>
        <w:jc w:val="both"/>
        <w:rPr>
          <w:rFonts w:eastAsia="Times New Roman" w:cstheme="minorHAnsi"/>
          <w:b/>
          <w:bCs/>
          <w:u w:val="single"/>
          <w:lang w:val="en-SG"/>
        </w:rPr>
      </w:pPr>
    </w:p>
    <w:p w14:paraId="43177DA7" w14:textId="77777777" w:rsidR="00D14228" w:rsidRPr="00EB675D" w:rsidRDefault="00D14228" w:rsidP="00EB675D">
      <w:pPr>
        <w:spacing w:after="0" w:line="240" w:lineRule="auto"/>
        <w:ind w:left="360"/>
        <w:jc w:val="both"/>
        <w:rPr>
          <w:rFonts w:eastAsia="Times New Roman" w:cstheme="minorHAnsi"/>
        </w:rPr>
      </w:pPr>
      <w:r w:rsidRPr="00D14228">
        <w:rPr>
          <w:rFonts w:eastAsia="Times New Roman" w:cstheme="minorHAnsi"/>
        </w:rPr>
        <w:t>The virtual assets laws and regulations in Dubai apply to all Virtual Assets and VA Activities in the Emirate. Here is a list of entities and individuals to whom the virtual assets laws and regulations apply in Dubai, based on the Virtual Assets and Related Activities Regulations 2023 issued by VARA:</w:t>
      </w:r>
    </w:p>
    <w:p w14:paraId="46F156DC" w14:textId="77777777" w:rsidR="00D14228" w:rsidRPr="00D14228" w:rsidRDefault="00D14228" w:rsidP="00EB675D">
      <w:pPr>
        <w:spacing w:after="0" w:line="240" w:lineRule="auto"/>
        <w:ind w:left="360"/>
        <w:jc w:val="both"/>
        <w:rPr>
          <w:rFonts w:eastAsia="Times New Roman" w:cstheme="minorHAnsi"/>
        </w:rPr>
      </w:pPr>
    </w:p>
    <w:p w14:paraId="773C3A12"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individual or entity conducting Virtual Asset Activities in the Emirate of Dubai, including free zones and special development zones. </w:t>
      </w:r>
    </w:p>
    <w:p w14:paraId="4A189B72" w14:textId="77777777" w:rsidR="008A2B17" w:rsidRPr="00D14228" w:rsidRDefault="008A2B17" w:rsidP="008A2B17">
      <w:pPr>
        <w:spacing w:after="0" w:line="240" w:lineRule="auto"/>
        <w:ind w:left="1080"/>
        <w:jc w:val="both"/>
        <w:rPr>
          <w:rFonts w:eastAsia="Times New Roman" w:cstheme="minorHAnsi"/>
        </w:rPr>
      </w:pPr>
    </w:p>
    <w:p w14:paraId="5C8CAC8A"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issuing Virtual Assets </w:t>
      </w:r>
      <w:proofErr w:type="gramStart"/>
      <w:r w:rsidRPr="00D14228">
        <w:rPr>
          <w:rFonts w:eastAsia="Times New Roman" w:cstheme="minorHAnsi"/>
        </w:rPr>
        <w:t>in the course of</w:t>
      </w:r>
      <w:proofErr w:type="gramEnd"/>
      <w:r w:rsidRPr="00D14228">
        <w:rPr>
          <w:rFonts w:eastAsia="Times New Roman" w:cstheme="minorHAnsi"/>
        </w:rPr>
        <w:t xml:space="preserve"> a business within Dubai. </w:t>
      </w:r>
    </w:p>
    <w:p w14:paraId="74ACAF4D" w14:textId="77777777" w:rsidR="005B1A02" w:rsidRPr="00D14228" w:rsidRDefault="005B1A02" w:rsidP="005B1A02">
      <w:pPr>
        <w:spacing w:after="0" w:line="240" w:lineRule="auto"/>
        <w:jc w:val="both"/>
        <w:rPr>
          <w:rFonts w:eastAsia="Times New Roman" w:cstheme="minorHAnsi"/>
        </w:rPr>
      </w:pPr>
    </w:p>
    <w:p w14:paraId="1BC40878"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that intends to provide Virtual Asset Services in Dubai including an exchange, custodian wallet provider. </w:t>
      </w:r>
    </w:p>
    <w:p w14:paraId="6264FE77" w14:textId="77777777" w:rsidR="008A2B17" w:rsidRPr="00D14228" w:rsidRDefault="008A2B17" w:rsidP="008A2B17">
      <w:pPr>
        <w:spacing w:after="0" w:line="240" w:lineRule="auto"/>
        <w:ind w:left="1080"/>
        <w:jc w:val="both"/>
        <w:rPr>
          <w:rFonts w:eastAsia="Times New Roman" w:cstheme="minorHAnsi"/>
        </w:rPr>
      </w:pPr>
    </w:p>
    <w:p w14:paraId="4A85B15E"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intending to engage in large proprietary trading in Virtual Assets. </w:t>
      </w:r>
    </w:p>
    <w:p w14:paraId="5989FC79" w14:textId="77777777" w:rsidR="008A2B17" w:rsidRPr="00D14228" w:rsidRDefault="008A2B17" w:rsidP="008A2B17">
      <w:pPr>
        <w:spacing w:after="0" w:line="240" w:lineRule="auto"/>
        <w:jc w:val="both"/>
        <w:rPr>
          <w:rFonts w:eastAsia="Times New Roman" w:cstheme="minorHAnsi"/>
        </w:rPr>
      </w:pPr>
    </w:p>
    <w:p w14:paraId="755B1A93" w14:textId="47113C8C" w:rsidR="00D14228" w:rsidRPr="00EB675D"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Anyone that is required to carry out an AML/CFT risk assessment for its business relating to Virtual Assets in Dubai.</w:t>
      </w:r>
    </w:p>
    <w:p w14:paraId="7160E400" w14:textId="77777777" w:rsidR="0028403B" w:rsidRPr="00EB675D" w:rsidRDefault="0028403B" w:rsidP="00EB675D">
      <w:pPr>
        <w:spacing w:after="0" w:line="240" w:lineRule="auto"/>
        <w:ind w:left="360"/>
        <w:jc w:val="both"/>
        <w:rPr>
          <w:rFonts w:eastAsia="Times New Roman" w:cstheme="minorHAnsi"/>
          <w:lang w:val="en-SG"/>
        </w:rPr>
      </w:pPr>
    </w:p>
    <w:p w14:paraId="524C34C3" w14:textId="6825F28C" w:rsidR="00A01017" w:rsidRPr="00EB675D" w:rsidRDefault="00A01017" w:rsidP="001E6213">
      <w:pPr>
        <w:pStyle w:val="Heading2"/>
      </w:pPr>
      <w:bookmarkStart w:id="4" w:name="_Toc194937373"/>
      <w:r w:rsidRPr="00EB675D">
        <w:t xml:space="preserve">Who are the relevant regulatory authorities in relation to </w:t>
      </w:r>
      <w:r w:rsidR="00D15562">
        <w:t>v</w:t>
      </w:r>
      <w:r w:rsidR="00BE6F03" w:rsidRPr="00EB675D">
        <w:t>irtual asset</w:t>
      </w:r>
      <w:r w:rsidRPr="00EB675D">
        <w:t xml:space="preserve">s </w:t>
      </w:r>
      <w:r w:rsidR="00DD2CD2" w:rsidRPr="00EB675D">
        <w:t xml:space="preserve">in </w:t>
      </w:r>
      <w:r w:rsidR="00314D4A" w:rsidRPr="00EB675D">
        <w:t>Dubai (UAE)</w:t>
      </w:r>
      <w:r w:rsidRPr="00EB675D">
        <w:t>?</w:t>
      </w:r>
      <w:bookmarkEnd w:id="4"/>
    </w:p>
    <w:p w14:paraId="6B9AF5EC" w14:textId="77777777" w:rsidR="00A01017" w:rsidRPr="00EB675D" w:rsidRDefault="00A01017" w:rsidP="00EB675D">
      <w:pPr>
        <w:spacing w:after="0" w:line="240" w:lineRule="auto"/>
        <w:ind w:left="360"/>
        <w:jc w:val="both"/>
        <w:rPr>
          <w:rFonts w:eastAsia="Times New Roman" w:cstheme="minorHAnsi"/>
          <w:u w:val="single"/>
        </w:rPr>
      </w:pPr>
    </w:p>
    <w:p w14:paraId="660F5F60" w14:textId="4E9F17B7"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VARA</w:t>
      </w:r>
      <w:r w:rsidRPr="00ED27A4">
        <w:rPr>
          <w:rFonts w:eastAsia="Times New Roman" w:cstheme="minorHAnsi"/>
        </w:rPr>
        <w:t>: The </w:t>
      </w:r>
      <w:r w:rsidR="00530243" w:rsidRPr="00530243">
        <w:rPr>
          <w:rFonts w:eastAsia="Times New Roman" w:cstheme="minorHAnsi"/>
        </w:rPr>
        <w:t>VARA</w:t>
      </w:r>
      <w:r w:rsidRPr="00ED27A4">
        <w:rPr>
          <w:rFonts w:eastAsia="Times New Roman" w:cstheme="minorHAnsi"/>
        </w:rPr>
        <w:t> enacted under Law No. 4 of 2022, is affiliated with the Dubai World Trade Centre Authority (</w:t>
      </w:r>
      <w:hyperlink r:id="rId32" w:history="1">
        <w:r w:rsidRPr="00ED27A4">
          <w:rPr>
            <w:rStyle w:val="Hyperlink"/>
            <w:rFonts w:eastAsia="Times New Roman" w:cstheme="minorHAnsi"/>
            <w:b/>
            <w:bCs/>
            <w:color w:val="FF6E00"/>
            <w:u w:val="none"/>
          </w:rPr>
          <w:t>DWTCA</w:t>
        </w:r>
      </w:hyperlink>
      <w:r w:rsidRPr="00ED27A4">
        <w:rPr>
          <w:rFonts w:eastAsia="Times New Roman" w:cstheme="minorHAnsi"/>
        </w:rPr>
        <w:t>), has a clear mission: overseeing the legal framework for businesses dealing with virtual assets in Dubai. This includes crypto assets, digital assets, and Non-Fungible Tokens (</w:t>
      </w:r>
      <w:r w:rsidRPr="00ED27A4">
        <w:rPr>
          <w:rFonts w:eastAsia="Times New Roman" w:cstheme="minorHAnsi"/>
          <w:b/>
          <w:bCs/>
        </w:rPr>
        <w:t>NFTs</w:t>
      </w:r>
      <w:r w:rsidRPr="00ED27A4">
        <w:rPr>
          <w:rFonts w:eastAsia="Times New Roman" w:cstheme="minorHAnsi"/>
        </w:rPr>
        <w:t xml:space="preserve">). VARA </w:t>
      </w:r>
      <w:proofErr w:type="gramStart"/>
      <w:r w:rsidRPr="00ED27A4">
        <w:rPr>
          <w:rFonts w:eastAsia="Times New Roman" w:cstheme="minorHAnsi"/>
        </w:rPr>
        <w:t>is in charge of</w:t>
      </w:r>
      <w:proofErr w:type="gramEnd"/>
      <w:r w:rsidRPr="00ED27A4">
        <w:rPr>
          <w:rFonts w:eastAsia="Times New Roman" w:cstheme="minorHAnsi"/>
        </w:rPr>
        <w:t xml:space="preserve"> licensing and regulation across Dubai's mainland and free zones (excluding Dubai International Financial Centre). </w:t>
      </w:r>
    </w:p>
    <w:p w14:paraId="76CADE6E" w14:textId="77777777" w:rsidR="00ED27A4" w:rsidRPr="00ED27A4" w:rsidRDefault="00ED27A4" w:rsidP="00EB675D">
      <w:pPr>
        <w:spacing w:after="0" w:line="240" w:lineRule="auto"/>
        <w:ind w:left="720"/>
        <w:jc w:val="both"/>
        <w:rPr>
          <w:rFonts w:eastAsia="Times New Roman" w:cstheme="minorHAnsi"/>
        </w:rPr>
      </w:pPr>
    </w:p>
    <w:p w14:paraId="5FC42C21" w14:textId="28275A35" w:rsidR="00ED27A4" w:rsidRPr="00ED27A4" w:rsidRDefault="00ED27A4" w:rsidP="00EB675D">
      <w:pPr>
        <w:numPr>
          <w:ilvl w:val="0"/>
          <w:numId w:val="167"/>
        </w:numPr>
        <w:spacing w:after="0" w:line="240" w:lineRule="auto"/>
        <w:ind w:left="1080"/>
        <w:jc w:val="both"/>
        <w:rPr>
          <w:rFonts w:eastAsia="Times New Roman" w:cstheme="minorHAnsi"/>
        </w:rPr>
      </w:pPr>
      <w:hyperlink r:id="rId33" w:history="1">
        <w:r w:rsidRPr="00ED27A4">
          <w:rPr>
            <w:rStyle w:val="Hyperlink"/>
            <w:rFonts w:eastAsia="Times New Roman" w:cstheme="minorHAnsi"/>
            <w:color w:val="FF6E00"/>
          </w:rPr>
          <w:t>Central Bank of the UAE</w:t>
        </w:r>
      </w:hyperlink>
      <w:r w:rsidRPr="00ED27A4">
        <w:rPr>
          <w:rFonts w:eastAsia="Times New Roman" w:cstheme="minorHAnsi"/>
        </w:rPr>
        <w:t>: The Central Bank of the United Arab Emirates plays a role in overseeing financial activities, including aspects related to virtual currencies, across the entire UAE, including Dubai.</w:t>
      </w:r>
    </w:p>
    <w:p w14:paraId="03DDC5BC" w14:textId="77777777" w:rsidR="00ED27A4" w:rsidRPr="00ED27A4" w:rsidRDefault="00ED27A4" w:rsidP="00EB675D">
      <w:pPr>
        <w:spacing w:after="0" w:line="240" w:lineRule="auto"/>
        <w:ind w:left="720"/>
        <w:jc w:val="both"/>
        <w:rPr>
          <w:rFonts w:eastAsia="Times New Roman" w:cstheme="minorHAnsi"/>
        </w:rPr>
      </w:pPr>
    </w:p>
    <w:p w14:paraId="6DF7654E" w14:textId="01049727"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Securities and Commodities Authority (</w:t>
      </w:r>
      <w:hyperlink r:id="rId34" w:history="1">
        <w:r w:rsidRPr="00ED27A4">
          <w:rPr>
            <w:rStyle w:val="Hyperlink"/>
            <w:rFonts w:eastAsia="Times New Roman" w:cstheme="minorHAnsi"/>
            <w:b/>
            <w:bCs/>
            <w:color w:val="FF6E00"/>
          </w:rPr>
          <w:t>SCA</w:t>
        </w:r>
      </w:hyperlink>
      <w:r w:rsidRPr="00ED27A4">
        <w:rPr>
          <w:rFonts w:eastAsia="Times New Roman" w:cstheme="minorHAnsi"/>
        </w:rPr>
        <w:t>): The SCA is a UAE-wide regulatory authority overseeing securities and commodities activities, which may include aspects related to virtual currencies.</w:t>
      </w:r>
    </w:p>
    <w:p w14:paraId="46F66163" w14:textId="77777777" w:rsidR="00ED27A4" w:rsidRPr="00ED27A4" w:rsidRDefault="00ED27A4" w:rsidP="00EB675D">
      <w:pPr>
        <w:spacing w:after="0" w:line="240" w:lineRule="auto"/>
        <w:ind w:left="720"/>
        <w:jc w:val="both"/>
        <w:rPr>
          <w:rFonts w:eastAsia="Times New Roman" w:cstheme="minorHAnsi"/>
        </w:rPr>
      </w:pPr>
    </w:p>
    <w:p w14:paraId="7502FD23" w14:textId="1F9DBA66" w:rsidR="00ED27A4" w:rsidRPr="00ED27A4" w:rsidRDefault="00ED27A4" w:rsidP="00EB675D">
      <w:pPr>
        <w:numPr>
          <w:ilvl w:val="0"/>
          <w:numId w:val="167"/>
        </w:numPr>
        <w:spacing w:after="0" w:line="240" w:lineRule="auto"/>
        <w:ind w:left="1080"/>
        <w:jc w:val="both"/>
        <w:rPr>
          <w:rFonts w:eastAsia="Times New Roman" w:cstheme="minorHAnsi"/>
        </w:rPr>
      </w:pPr>
      <w:hyperlink r:id="rId35" w:history="1">
        <w:r w:rsidRPr="00ED27A4">
          <w:rPr>
            <w:rStyle w:val="Hyperlink"/>
            <w:rFonts w:eastAsia="Times New Roman" w:cstheme="minorHAnsi"/>
            <w:color w:val="FF6E00"/>
          </w:rPr>
          <w:t>Ministry of Economy</w:t>
        </w:r>
      </w:hyperlink>
      <w:r w:rsidRPr="00ED27A4">
        <w:rPr>
          <w:rFonts w:eastAsia="Times New Roman" w:cstheme="minorHAnsi"/>
        </w:rPr>
        <w:t>: The Ministry of Economy is involved in shaping the overall economic policies of the UAE and may play a role in the broader regulatory landscape.</w:t>
      </w:r>
    </w:p>
    <w:p w14:paraId="0EB61051" w14:textId="77777777" w:rsidR="00ED27A4" w:rsidRPr="00ED27A4" w:rsidRDefault="00ED27A4" w:rsidP="00EB675D">
      <w:pPr>
        <w:spacing w:after="0" w:line="240" w:lineRule="auto"/>
        <w:ind w:left="720"/>
        <w:jc w:val="both"/>
        <w:rPr>
          <w:rFonts w:eastAsia="Times New Roman" w:cstheme="minorHAnsi"/>
        </w:rPr>
      </w:pPr>
    </w:p>
    <w:p w14:paraId="799CBCC7" w14:textId="1C024F02" w:rsidR="00ED27A4" w:rsidRPr="00EB675D"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Dubai Multi Commodities Centre (</w:t>
      </w:r>
      <w:hyperlink r:id="rId36" w:history="1">
        <w:r w:rsidRPr="00ED27A4">
          <w:rPr>
            <w:rStyle w:val="Hyperlink"/>
            <w:rFonts w:eastAsia="Times New Roman" w:cstheme="minorHAnsi"/>
            <w:b/>
            <w:bCs/>
            <w:color w:val="FF6E00"/>
          </w:rPr>
          <w:t>DMCC</w:t>
        </w:r>
      </w:hyperlink>
      <w:r w:rsidRPr="00ED27A4">
        <w:rPr>
          <w:rFonts w:eastAsia="Times New Roman" w:cstheme="minorHAnsi"/>
        </w:rPr>
        <w:t>): The DMCC is a free zone authority that has shown interest in fostering blockchain and crypto-related businesses. While it may not be a regulatory authority, it plays a role in supporting the growth of such businesses within its free zone.</w:t>
      </w:r>
    </w:p>
    <w:p w14:paraId="40F83B50" w14:textId="77777777" w:rsidR="00ED27A4" w:rsidRPr="00ED27A4" w:rsidRDefault="00ED27A4" w:rsidP="00EB675D">
      <w:pPr>
        <w:spacing w:after="0" w:line="240" w:lineRule="auto"/>
        <w:jc w:val="both"/>
        <w:rPr>
          <w:rFonts w:eastAsia="Times New Roman" w:cstheme="minorHAnsi"/>
        </w:rPr>
      </w:pPr>
    </w:p>
    <w:p w14:paraId="0D0317D5" w14:textId="77777777" w:rsidR="00ED27A4" w:rsidRPr="00ED27A4" w:rsidRDefault="00ED27A4" w:rsidP="00EB675D">
      <w:pPr>
        <w:spacing w:after="0" w:line="240" w:lineRule="auto"/>
        <w:ind w:left="360"/>
        <w:jc w:val="both"/>
        <w:rPr>
          <w:rFonts w:eastAsia="Times New Roman" w:cstheme="minorHAnsi"/>
        </w:rPr>
      </w:pPr>
      <w:r w:rsidRPr="00ED27A4">
        <w:rPr>
          <w:rFonts w:eastAsia="Times New Roman" w:cstheme="minorHAnsi"/>
        </w:rPr>
        <w:t>VARA, under DWTCA, takes charge of licensing and overseeing the virtual asset sector in Dubai's mainland and free zones, excluding the DIFC. Any laws in Dubai or its free zones conflicting with the Virtual Assets Law get canceled out. However, it's to note that federal laws, especially those from the Central Bank and Securities and Commodities Authority, still apply. Hence, if there's any overlap with activities related to virtual assets, one must also consider them. An understanding has been established between the SCA and DWTCA since 2021, specifically regarding the offering, regulation, issuance, and trading of virtual assets within the DWTCA's free zone.</w:t>
      </w:r>
    </w:p>
    <w:p w14:paraId="3D669247" w14:textId="77777777" w:rsidR="00465883" w:rsidRPr="00EB675D" w:rsidRDefault="00465883" w:rsidP="00EB675D">
      <w:pPr>
        <w:spacing w:after="0" w:line="240" w:lineRule="auto"/>
        <w:jc w:val="both"/>
        <w:rPr>
          <w:rFonts w:eastAsia="Times New Roman" w:cstheme="minorHAnsi"/>
          <w:lang w:val="en-SG"/>
        </w:rPr>
      </w:pPr>
    </w:p>
    <w:p w14:paraId="26700E37" w14:textId="3304CF07" w:rsidR="00775445" w:rsidRPr="00EB675D" w:rsidRDefault="009E6883" w:rsidP="001E6213">
      <w:pPr>
        <w:pStyle w:val="Heading2"/>
      </w:pPr>
      <w:bookmarkStart w:id="5" w:name="_Toc194937374"/>
      <w:r w:rsidRPr="00EB675D">
        <w:t xml:space="preserve">What are the penalties for breaches of virtual asset laws and regulations </w:t>
      </w:r>
      <w:r w:rsidR="00DD2CD2" w:rsidRPr="00EB675D">
        <w:t xml:space="preserve">in </w:t>
      </w:r>
      <w:r w:rsidR="00314D4A" w:rsidRPr="00EB675D">
        <w:t>Dubai (UAE)</w:t>
      </w:r>
      <w:r w:rsidRPr="00EB675D">
        <w:t>?</w:t>
      </w:r>
      <w:bookmarkEnd w:id="5"/>
    </w:p>
    <w:p w14:paraId="3F999FEC" w14:textId="77777777" w:rsidR="00775445" w:rsidRPr="00EB675D" w:rsidRDefault="00775445" w:rsidP="00EB675D">
      <w:pPr>
        <w:spacing w:after="0" w:line="240" w:lineRule="auto"/>
        <w:ind w:left="360"/>
        <w:jc w:val="both"/>
        <w:rPr>
          <w:rFonts w:eastAsia="Times New Roman" w:cstheme="minorHAnsi"/>
          <w:b/>
          <w:bCs/>
          <w:u w:val="single"/>
          <w:lang w:val="en-SG"/>
        </w:rPr>
      </w:pPr>
    </w:p>
    <w:p w14:paraId="63279758"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The Virtual Assets and Related Activities Regulations 2023, alongside the Rulebooks issued by the VARA, detail penalties and fines for non-compliance. VARA has discretionary powers to enforce actions against entities violating laws, regulations, or directives. These actions range from written reprimands to fines, additional supervision, monitoring, or reporting requirements, as determined by VARA. The fine amounts are described in Schedule 3 of The Virtual Assets and Related Activities Regulations 2023, categorising violations from high to low seriousness, based on the nature and severity of violations:</w:t>
      </w:r>
    </w:p>
    <w:p w14:paraId="7E01B380" w14:textId="77777777" w:rsidR="004E1363" w:rsidRPr="004E1363" w:rsidRDefault="004E1363" w:rsidP="00EB675D">
      <w:pPr>
        <w:spacing w:after="0" w:line="240" w:lineRule="auto"/>
        <w:ind w:left="360"/>
        <w:jc w:val="both"/>
        <w:rPr>
          <w:rFonts w:eastAsia="Times New Roman" w:cstheme="minorHAnsi"/>
        </w:rPr>
      </w:pPr>
    </w:p>
    <w:p w14:paraId="00E60050"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1</w:t>
      </w:r>
      <w:r w:rsidRPr="004E1363">
        <w:rPr>
          <w:rFonts w:eastAsia="Times New Roman" w:cstheme="minorHAnsi"/>
        </w:rPr>
        <w:t>: Violations related to market offenses, compliance, risk management, conduct, or offenses not covered elsewhere. Entities may face fines up to AED 100 million.</w:t>
      </w:r>
    </w:p>
    <w:p w14:paraId="76DA5FC9" w14:textId="77777777" w:rsidR="00D4480F" w:rsidRPr="004E1363" w:rsidRDefault="00D4480F" w:rsidP="00D4480F">
      <w:pPr>
        <w:spacing w:after="0" w:line="240" w:lineRule="auto"/>
        <w:ind w:left="1080"/>
        <w:jc w:val="both"/>
        <w:rPr>
          <w:rFonts w:eastAsia="Times New Roman" w:cstheme="minorHAnsi"/>
        </w:rPr>
      </w:pPr>
    </w:p>
    <w:p w14:paraId="12A69B69"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2</w:t>
      </w:r>
      <w:r w:rsidRPr="004E1363">
        <w:rPr>
          <w:rFonts w:eastAsia="Times New Roman" w:cstheme="minorHAnsi"/>
        </w:rPr>
        <w:t>: Violations related to Virtual Asset Activities, including unauthorised engagement, KYC obligations, reporting, and (</w:t>
      </w:r>
      <w:r w:rsidRPr="004E1363">
        <w:rPr>
          <w:rFonts w:eastAsia="Times New Roman" w:cstheme="minorHAnsi"/>
          <w:b/>
          <w:bCs/>
        </w:rPr>
        <w:t>AML/CFT</w:t>
      </w:r>
      <w:r w:rsidRPr="004E1363">
        <w:rPr>
          <w:rFonts w:eastAsia="Times New Roman" w:cstheme="minorHAnsi"/>
        </w:rPr>
        <w:t>) requirements. Individuals may incur fines up to AED 50 million, while corporate entities may face fines up to AED 100 million.</w:t>
      </w:r>
    </w:p>
    <w:p w14:paraId="4C52C69F" w14:textId="77777777" w:rsidR="00D4480F" w:rsidRPr="004E1363" w:rsidRDefault="00D4480F" w:rsidP="00D4480F">
      <w:pPr>
        <w:spacing w:after="0" w:line="240" w:lineRule="auto"/>
        <w:jc w:val="both"/>
        <w:rPr>
          <w:rFonts w:eastAsia="Times New Roman" w:cstheme="minorHAnsi"/>
        </w:rPr>
      </w:pPr>
    </w:p>
    <w:p w14:paraId="1CA4D447" w14:textId="77777777" w:rsidR="004E1363" w:rsidRPr="00EB675D"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3</w:t>
      </w:r>
      <w:r w:rsidRPr="004E1363">
        <w:rPr>
          <w:rFonts w:eastAsia="Times New Roman" w:cstheme="minorHAnsi"/>
        </w:rPr>
        <w:t>: Violations not falling under Categories 1 and 2, pertaining to other regulations or directives. Entities may be fined from AED 5 million to AED 15 million.</w:t>
      </w:r>
    </w:p>
    <w:p w14:paraId="79E40F3D" w14:textId="77777777" w:rsidR="004E1363" w:rsidRPr="004E1363" w:rsidRDefault="004E1363" w:rsidP="00EB675D">
      <w:pPr>
        <w:spacing w:after="0" w:line="240" w:lineRule="auto"/>
        <w:ind w:left="1080"/>
        <w:jc w:val="both"/>
        <w:rPr>
          <w:rFonts w:eastAsia="Times New Roman" w:cstheme="minorHAnsi"/>
        </w:rPr>
      </w:pPr>
    </w:p>
    <w:p w14:paraId="7A70718E"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VARA has emphasised that violators may be required to disgorge profits or avoid losses, with amounts potentially exceeding the previously stated limits, specifically up to 300% of the profits gained or losses avoided.</w:t>
      </w:r>
    </w:p>
    <w:p w14:paraId="5B150B4F" w14:textId="77777777" w:rsidR="00501BDA" w:rsidRPr="004E1363" w:rsidRDefault="00501BDA" w:rsidP="00EB675D">
      <w:pPr>
        <w:spacing w:after="0" w:line="240" w:lineRule="auto"/>
        <w:ind w:left="360"/>
        <w:jc w:val="both"/>
        <w:rPr>
          <w:rFonts w:eastAsia="Times New Roman" w:cstheme="minorHAnsi"/>
        </w:rPr>
      </w:pPr>
    </w:p>
    <w:p w14:paraId="46C16144"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 xml:space="preserve">Regulations specify grounds for fines based on factors like carrying out VA Activities in violation, issuing a Virtual Asset unlawfully, misrepresenting to the public, and breaching Ultimate Beneficial Owner disclosure requirements. VARA considers factors like </w:t>
      </w:r>
      <w:proofErr w:type="gramStart"/>
      <w:r w:rsidRPr="004E1363">
        <w:rPr>
          <w:rFonts w:eastAsia="Times New Roman" w:cstheme="minorHAnsi"/>
        </w:rPr>
        <w:t>the nature</w:t>
      </w:r>
      <w:proofErr w:type="gramEnd"/>
      <w:r w:rsidRPr="004E1363">
        <w:rPr>
          <w:rFonts w:eastAsia="Times New Roman" w:cstheme="minorHAnsi"/>
        </w:rPr>
        <w:t>, seriousness, and impact of the violation, whether it constitutes a market offense, the entity's conduct post-violation, its disciplinary record, VARA's published materials, and actions by other regulatory bodies.</w:t>
      </w:r>
    </w:p>
    <w:p w14:paraId="6940839C" w14:textId="77777777" w:rsidR="00501BDA" w:rsidRPr="004E1363" w:rsidRDefault="00501BDA" w:rsidP="00EB675D">
      <w:pPr>
        <w:spacing w:after="0" w:line="240" w:lineRule="auto"/>
        <w:ind w:left="360"/>
        <w:jc w:val="both"/>
        <w:rPr>
          <w:rFonts w:eastAsia="Times New Roman" w:cstheme="minorHAnsi"/>
        </w:rPr>
      </w:pPr>
    </w:p>
    <w:p w14:paraId="0198915E" w14:textId="03BD3590" w:rsidR="0028403B" w:rsidRPr="00EB675D" w:rsidRDefault="004E1363" w:rsidP="00EB675D">
      <w:pPr>
        <w:spacing w:after="0" w:line="240" w:lineRule="auto"/>
        <w:ind w:left="360"/>
        <w:jc w:val="both"/>
        <w:rPr>
          <w:rFonts w:eastAsia="Times New Roman" w:cstheme="minorHAnsi"/>
          <w:lang w:val="en-SG"/>
        </w:rPr>
      </w:pPr>
      <w:r w:rsidRPr="00EB675D">
        <w:rPr>
          <w:rFonts w:eastAsia="Times New Roman" w:cstheme="minorHAnsi"/>
        </w:rPr>
        <w:t xml:space="preserve">Furthermore, VARA can suspend authorisation issuance, suspend or revoke virtual asset service provider activities, and suspend dealings with virtual assets in specific situations. A Board of Directors </w:t>
      </w:r>
      <w:r w:rsidRPr="00EB675D">
        <w:rPr>
          <w:rFonts w:eastAsia="Times New Roman" w:cstheme="minorHAnsi"/>
        </w:rPr>
        <w:lastRenderedPageBreak/>
        <w:t>resolution from the DWTC Authority describes acts constituting a Virtual Assets Law violation and corresponding penalties. VARA has broader authority to suspend or revoke licenses for VASPs for a period exceeding six months in cases of severe non-compliance. Coordination with the relevant commercial licensing authority in Dubai may lead to the cancellation of the entity's trade license. Violating the Virtual Assets Law carries substantial penalties and broad consequences.</w:t>
      </w:r>
    </w:p>
    <w:p w14:paraId="78961A86" w14:textId="77777777" w:rsidR="00F9672A" w:rsidRPr="00EB675D" w:rsidRDefault="00F9672A" w:rsidP="00EB675D">
      <w:pPr>
        <w:spacing w:after="0" w:line="240" w:lineRule="auto"/>
        <w:jc w:val="both"/>
        <w:rPr>
          <w:rFonts w:eastAsia="Times New Roman" w:cstheme="minorHAnsi"/>
          <w:lang w:val="en-SG"/>
        </w:rPr>
      </w:pPr>
    </w:p>
    <w:p w14:paraId="25A039B7" w14:textId="07A9E708" w:rsidR="009E6883" w:rsidRPr="00EB675D" w:rsidRDefault="009E6883" w:rsidP="001E6213">
      <w:pPr>
        <w:pStyle w:val="Heading1"/>
      </w:pPr>
      <w:bookmarkStart w:id="6" w:name="_Toc194937375"/>
      <w:r w:rsidRPr="00EB675D">
        <w:t xml:space="preserve">Regulation of virtual assets and offerings of virtual assets </w:t>
      </w:r>
      <w:r w:rsidR="00DD2CD2" w:rsidRPr="00EB675D">
        <w:t xml:space="preserve">in </w:t>
      </w:r>
      <w:r w:rsidR="00314D4A" w:rsidRPr="00EB675D">
        <w:t>Dubai (UAE)</w:t>
      </w:r>
      <w:bookmarkEnd w:id="6"/>
    </w:p>
    <w:p w14:paraId="4A6169F4" w14:textId="77777777" w:rsidR="00A97D87" w:rsidRPr="00EB675D" w:rsidRDefault="00A97D87" w:rsidP="00EB675D">
      <w:pPr>
        <w:spacing w:after="0" w:line="240" w:lineRule="auto"/>
        <w:jc w:val="both"/>
        <w:rPr>
          <w:rFonts w:eastAsia="Times New Roman" w:cstheme="minorHAnsi"/>
          <w:b/>
          <w:lang w:val="en-SG"/>
        </w:rPr>
      </w:pPr>
    </w:p>
    <w:p w14:paraId="29FB8E56" w14:textId="055D5713" w:rsidR="009E6883" w:rsidRPr="00EB675D" w:rsidRDefault="009E6883" w:rsidP="001E6213">
      <w:pPr>
        <w:pStyle w:val="Heading2"/>
      </w:pPr>
      <w:bookmarkStart w:id="7" w:name="_Toc194937376"/>
      <w:r w:rsidRPr="00EB675D">
        <w:t>Are virtual assets classified as ‘</w:t>
      </w:r>
      <w:proofErr w:type="gramStart"/>
      <w:r w:rsidR="00510928" w:rsidRPr="00EB675D">
        <w:t>securities</w:t>
      </w:r>
      <w:r w:rsidR="00886131" w:rsidRPr="00EB675D">
        <w:t>’</w:t>
      </w:r>
      <w:proofErr w:type="gramEnd"/>
      <w:r w:rsidRPr="00EB675D">
        <w:t xml:space="preserve"> or other regulated financial instruments </w:t>
      </w:r>
      <w:r w:rsidR="00DD2CD2" w:rsidRPr="00EB675D">
        <w:t xml:space="preserve">in </w:t>
      </w:r>
      <w:r w:rsidR="00314D4A" w:rsidRPr="00EB675D">
        <w:t>Dubai (UAE)</w:t>
      </w:r>
      <w:r w:rsidRPr="00EB675D">
        <w:t>?</w:t>
      </w:r>
      <w:bookmarkEnd w:id="7"/>
    </w:p>
    <w:p w14:paraId="1ECEA135" w14:textId="77777777" w:rsidR="00A97D87" w:rsidRPr="00EB675D" w:rsidRDefault="00A97D87" w:rsidP="00EB675D">
      <w:pPr>
        <w:spacing w:after="0" w:line="240" w:lineRule="auto"/>
        <w:ind w:left="360"/>
        <w:jc w:val="both"/>
        <w:rPr>
          <w:rFonts w:eastAsia="Times New Roman" w:cstheme="minorHAnsi"/>
          <w:b/>
          <w:bCs/>
          <w:lang w:val="en-SG"/>
        </w:rPr>
      </w:pPr>
    </w:p>
    <w:p w14:paraId="0689D25A"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 xml:space="preserve">Virtual assets are not classified as securities or regulated financial instruments in Dubai; rather, they are defined as a digital representation of value that is tradeable and their regulation falls under the recently established VARA according to </w:t>
      </w:r>
      <w:proofErr w:type="gramStart"/>
      <w:r w:rsidRPr="00182724">
        <w:rPr>
          <w:rFonts w:eastAsia="Times New Roman" w:cstheme="minorHAnsi"/>
        </w:rPr>
        <w:t>the Law</w:t>
      </w:r>
      <w:proofErr w:type="gramEnd"/>
      <w:r w:rsidRPr="00182724">
        <w:rPr>
          <w:rFonts w:eastAsia="Times New Roman" w:cstheme="minorHAnsi"/>
        </w:rPr>
        <w:t xml:space="preserve"> No.4 of 2022 on the Regulation of Virtual Assets.</w:t>
      </w:r>
    </w:p>
    <w:p w14:paraId="11D4D513" w14:textId="77777777" w:rsidR="00182724" w:rsidRPr="00182724" w:rsidRDefault="00182724" w:rsidP="00EB675D">
      <w:pPr>
        <w:spacing w:after="0" w:line="240" w:lineRule="auto"/>
        <w:ind w:left="360"/>
        <w:jc w:val="both"/>
        <w:rPr>
          <w:rFonts w:eastAsia="Times New Roman" w:cstheme="minorHAnsi"/>
        </w:rPr>
      </w:pPr>
    </w:p>
    <w:p w14:paraId="70576D48"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As per the definition given in Law No.4 of 2022 on the regulation of Virtual Assets,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3CB4C027" w14:textId="77777777" w:rsidR="00182724" w:rsidRPr="00182724" w:rsidRDefault="00182724" w:rsidP="00EB675D">
      <w:pPr>
        <w:spacing w:after="0" w:line="240" w:lineRule="auto"/>
        <w:ind w:left="360"/>
        <w:jc w:val="both"/>
        <w:rPr>
          <w:rFonts w:eastAsia="Times New Roman" w:cstheme="minorHAnsi"/>
        </w:rPr>
      </w:pPr>
    </w:p>
    <w:p w14:paraId="2A11C39B" w14:textId="650851E6" w:rsidR="00182724" w:rsidRPr="00EB675D" w:rsidRDefault="00182724" w:rsidP="00EB675D">
      <w:pPr>
        <w:spacing w:after="0" w:line="240" w:lineRule="auto"/>
        <w:ind w:left="360"/>
        <w:jc w:val="both"/>
        <w:rPr>
          <w:rFonts w:eastAsia="Times New Roman" w:cstheme="minorHAnsi"/>
          <w:lang w:val="en-SG"/>
        </w:rPr>
      </w:pPr>
      <w:r w:rsidRPr="00EB675D">
        <w:rPr>
          <w:rFonts w:eastAsia="Times New Roman" w:cstheme="minorHAnsi"/>
        </w:rPr>
        <w:t>Though, according to the Virtual Assets and Related Activities Regulations 2023, the VARA has the power to classify or provide clarification on any Virtual Asset or type of Virtual Asset as being regulated by the Central Bank of UAE or as being prohibited in the Emirate. Therefore, virtual assets may or may not be classified as securities or other regulated financial instruments depending on VARA's classification or clarification.</w:t>
      </w:r>
    </w:p>
    <w:p w14:paraId="392263C6" w14:textId="77777777" w:rsidR="005C4DED" w:rsidRPr="00EB675D" w:rsidRDefault="005C4DED" w:rsidP="00EB675D">
      <w:pPr>
        <w:spacing w:after="0" w:line="240" w:lineRule="auto"/>
        <w:jc w:val="both"/>
        <w:rPr>
          <w:rFonts w:eastAsia="Times New Roman" w:cstheme="minorHAnsi"/>
        </w:rPr>
      </w:pPr>
    </w:p>
    <w:p w14:paraId="48A80C25" w14:textId="6715E500" w:rsidR="00B36B1B" w:rsidRPr="00EB675D" w:rsidRDefault="009E6883" w:rsidP="001E6213">
      <w:pPr>
        <w:pStyle w:val="Heading2"/>
      </w:pPr>
      <w:bookmarkStart w:id="8" w:name="_Toc194937377"/>
      <w:r w:rsidRPr="00EB675D">
        <w:t xml:space="preserve">Are stablecoins and NFTs regulated </w:t>
      </w:r>
      <w:r w:rsidR="00DD2CD2" w:rsidRPr="00EB675D">
        <w:t xml:space="preserve">in </w:t>
      </w:r>
      <w:r w:rsidR="00314D4A" w:rsidRPr="00EB675D">
        <w:t>Dubai (UAE)</w:t>
      </w:r>
      <w:r w:rsidRPr="00EB675D">
        <w:t>?</w:t>
      </w:r>
      <w:bookmarkEnd w:id="8"/>
    </w:p>
    <w:p w14:paraId="3B6C8605" w14:textId="77777777" w:rsidR="00B36B1B" w:rsidRPr="00EB675D" w:rsidRDefault="00B36B1B" w:rsidP="00EB675D">
      <w:pPr>
        <w:spacing w:after="0" w:line="240" w:lineRule="auto"/>
        <w:ind w:left="360"/>
        <w:jc w:val="both"/>
        <w:rPr>
          <w:rFonts w:eastAsia="Times New Roman" w:cstheme="minorHAnsi"/>
          <w:lang w:val="en-SG"/>
        </w:rPr>
      </w:pPr>
    </w:p>
    <w:p w14:paraId="7A168A4F"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Stablecoins</w:t>
      </w:r>
      <w:r w:rsidRPr="004F4402">
        <w:rPr>
          <w:rFonts w:eastAsia="Times New Roman" w:cstheme="minorHAnsi"/>
        </w:rPr>
        <w:t>: Stablecoins are indeed regulated in Dubai under a framework established by the CBUAE and the VARA:</w:t>
      </w:r>
    </w:p>
    <w:p w14:paraId="13DAC0E9" w14:textId="77777777" w:rsidR="004F4402" w:rsidRPr="004F4402" w:rsidRDefault="004F4402" w:rsidP="00EB675D">
      <w:pPr>
        <w:spacing w:after="0" w:line="240" w:lineRule="auto"/>
        <w:ind w:left="360"/>
        <w:jc w:val="both"/>
        <w:rPr>
          <w:rFonts w:eastAsia="Times New Roman" w:cstheme="minorHAnsi"/>
        </w:rPr>
      </w:pPr>
    </w:p>
    <w:p w14:paraId="4DC504BD"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Fiat Referenced Virtual Assets (</w:t>
      </w:r>
      <w:r w:rsidRPr="004F4402">
        <w:rPr>
          <w:rFonts w:eastAsia="Times New Roman" w:cstheme="minorHAnsi"/>
          <w:b/>
          <w:bCs/>
        </w:rPr>
        <w:t>FRVAs</w:t>
      </w:r>
      <w:r w:rsidRPr="004F4402">
        <w:rPr>
          <w:rFonts w:eastAsia="Times New Roman" w:cstheme="minorHAnsi"/>
        </w:rPr>
        <w:t>) are not considered legal tender and are not issued or guaranteed by any government or central bank. They differ from virtual assets representing equity claims or central bank digital currencies (</w:t>
      </w:r>
      <w:r w:rsidRPr="004F4402">
        <w:rPr>
          <w:rFonts w:eastAsia="Times New Roman" w:cstheme="minorHAnsi"/>
          <w:b/>
          <w:bCs/>
        </w:rPr>
        <w:t>CBDCs</w:t>
      </w:r>
      <w:r w:rsidRPr="004F4402">
        <w:rPr>
          <w:rFonts w:eastAsia="Times New Roman" w:cstheme="minorHAnsi"/>
        </w:rPr>
        <w:t>).</w:t>
      </w:r>
    </w:p>
    <w:p w14:paraId="01544511" w14:textId="77777777" w:rsidR="002E4034" w:rsidRPr="004F4402" w:rsidRDefault="002E4034" w:rsidP="002E4034">
      <w:pPr>
        <w:spacing w:after="0" w:line="240" w:lineRule="auto"/>
        <w:ind w:left="1080"/>
        <w:jc w:val="both"/>
        <w:rPr>
          <w:rFonts w:eastAsia="Times New Roman" w:cstheme="minorHAnsi"/>
        </w:rPr>
      </w:pPr>
    </w:p>
    <w:p w14:paraId="1A53B33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CBUAE has developed a regulatory framework for stablecoins, particularly those pegged to the UAE Dirham (AED). This framework was approved on June 3, 2024, and aims to provide clear guidelines for licensing and oversight of stablecoin arrangements.</w:t>
      </w:r>
    </w:p>
    <w:p w14:paraId="6F0B3503" w14:textId="77777777" w:rsidR="002E4034" w:rsidRPr="004F4402" w:rsidRDefault="002E4034" w:rsidP="002E4034">
      <w:pPr>
        <w:spacing w:after="0" w:line="240" w:lineRule="auto"/>
        <w:jc w:val="both"/>
        <w:rPr>
          <w:rFonts w:eastAsia="Times New Roman" w:cstheme="minorHAnsi"/>
        </w:rPr>
      </w:pPr>
    </w:p>
    <w:p w14:paraId="12EE00FF" w14:textId="5494B73F" w:rsidR="00FE2CF4" w:rsidRDefault="004F4402" w:rsidP="00FE2CF4">
      <w:pPr>
        <w:numPr>
          <w:ilvl w:val="0"/>
          <w:numId w:val="169"/>
        </w:numPr>
        <w:spacing w:after="0" w:line="240" w:lineRule="auto"/>
        <w:jc w:val="both"/>
        <w:rPr>
          <w:rFonts w:eastAsia="Times New Roman" w:cstheme="minorHAnsi"/>
        </w:rPr>
      </w:pPr>
      <w:r w:rsidRPr="004F4402">
        <w:rPr>
          <w:rFonts w:eastAsia="Times New Roman" w:cstheme="minorHAnsi"/>
        </w:rPr>
        <w:t>The reserves backing stablecoins must comply with the regulations set forth by the CBUAE and VARA. These reserves must:</w:t>
      </w:r>
    </w:p>
    <w:p w14:paraId="7D1F4D9F" w14:textId="77777777" w:rsidR="00FE2CF4" w:rsidRPr="004F4402" w:rsidRDefault="00FE2CF4" w:rsidP="00FE2CF4">
      <w:pPr>
        <w:spacing w:after="0" w:line="240" w:lineRule="auto"/>
        <w:jc w:val="both"/>
        <w:rPr>
          <w:rFonts w:eastAsia="Times New Roman" w:cstheme="minorHAnsi"/>
        </w:rPr>
      </w:pPr>
    </w:p>
    <w:p w14:paraId="2F3F7A0A"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Consist primarily of cash, with only a minor portion (up to 10%) allowed in high-quality liquid assets.</w:t>
      </w:r>
    </w:p>
    <w:p w14:paraId="4A17606E" w14:textId="77777777" w:rsidR="00EA51BF" w:rsidRPr="004F4402" w:rsidRDefault="00EA51BF" w:rsidP="00EA51BF">
      <w:pPr>
        <w:spacing w:after="0" w:line="240" w:lineRule="auto"/>
        <w:ind w:left="1080"/>
        <w:jc w:val="both"/>
        <w:rPr>
          <w:rFonts w:eastAsia="Times New Roman" w:cstheme="minorHAnsi"/>
        </w:rPr>
      </w:pPr>
    </w:p>
    <w:p w14:paraId="3139B0CB"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denominated in the reference currency (AED).</w:t>
      </w:r>
    </w:p>
    <w:p w14:paraId="76D3B8DD" w14:textId="77777777" w:rsidR="00EA51BF" w:rsidRDefault="00EA51BF" w:rsidP="00EA51BF">
      <w:pPr>
        <w:pStyle w:val="ListParagraph"/>
        <w:rPr>
          <w:rFonts w:eastAsia="Times New Roman" w:cstheme="minorHAnsi"/>
        </w:rPr>
      </w:pPr>
    </w:p>
    <w:p w14:paraId="6074AB12" w14:textId="77777777" w:rsidR="00EA51BF" w:rsidRPr="004F4402" w:rsidRDefault="00EA51BF" w:rsidP="00EA51BF">
      <w:pPr>
        <w:spacing w:after="0" w:line="240" w:lineRule="auto"/>
        <w:jc w:val="both"/>
        <w:rPr>
          <w:rFonts w:eastAsia="Times New Roman" w:cstheme="minorHAnsi"/>
        </w:rPr>
      </w:pPr>
    </w:p>
    <w:p w14:paraId="0D402973"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held in segregated accounts with regulated banks or custodians in jurisdictions meeting FATF standards.</w:t>
      </w:r>
    </w:p>
    <w:p w14:paraId="336E2D81" w14:textId="77777777" w:rsidR="00EA51BF" w:rsidRPr="004F4402" w:rsidRDefault="00EA51BF" w:rsidP="00EA51BF">
      <w:pPr>
        <w:spacing w:after="0" w:line="240" w:lineRule="auto"/>
        <w:ind w:left="1080"/>
        <w:jc w:val="both"/>
        <w:rPr>
          <w:rFonts w:eastAsia="Times New Roman" w:cstheme="minorHAnsi"/>
        </w:rPr>
      </w:pPr>
    </w:p>
    <w:p w14:paraId="7182E21D" w14:textId="77777777" w:rsidR="004F4402" w:rsidRPr="00EB675D"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Always have a value exceeding the total volume of payment tokens in circulation.</w:t>
      </w:r>
    </w:p>
    <w:p w14:paraId="57B2E961" w14:textId="77777777" w:rsidR="001B6D5D" w:rsidRPr="004F4402" w:rsidRDefault="001B6D5D" w:rsidP="00EB675D">
      <w:pPr>
        <w:spacing w:after="0" w:line="240" w:lineRule="auto"/>
        <w:ind w:left="1440"/>
        <w:jc w:val="both"/>
        <w:rPr>
          <w:rFonts w:eastAsia="Times New Roman" w:cstheme="minorHAnsi"/>
        </w:rPr>
      </w:pPr>
    </w:p>
    <w:p w14:paraId="45295B5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regulatory framework outlines requirements for VARA approval, additional disclosures, and marketing rules for VASPs issuing FRVAs.</w:t>
      </w:r>
    </w:p>
    <w:p w14:paraId="53C9BCFD" w14:textId="77777777" w:rsidR="00FE2CF4" w:rsidRPr="004F4402" w:rsidRDefault="00FE2CF4" w:rsidP="00FE2CF4">
      <w:pPr>
        <w:spacing w:after="0" w:line="240" w:lineRule="auto"/>
        <w:ind w:left="720"/>
        <w:jc w:val="both"/>
        <w:rPr>
          <w:rFonts w:eastAsia="Times New Roman" w:cstheme="minorHAnsi"/>
        </w:rPr>
      </w:pPr>
    </w:p>
    <w:p w14:paraId="5EA2B6C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demonstrate sufficient technical capability and financial resources to ensure the stable backing of FRVAs.</w:t>
      </w:r>
    </w:p>
    <w:p w14:paraId="058D19FE" w14:textId="77777777" w:rsidR="00FE2CF4" w:rsidRPr="004F4402" w:rsidRDefault="00FE2CF4" w:rsidP="00FE2CF4">
      <w:pPr>
        <w:spacing w:after="0" w:line="240" w:lineRule="auto"/>
        <w:jc w:val="both"/>
        <w:rPr>
          <w:rFonts w:eastAsia="Times New Roman" w:cstheme="minorHAnsi"/>
        </w:rPr>
      </w:pPr>
    </w:p>
    <w:p w14:paraId="2349FE4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adhere to licensing requirements, technology standards, data protection policies, and anti-money laundering regulations.</w:t>
      </w:r>
    </w:p>
    <w:p w14:paraId="30A4D410" w14:textId="77777777" w:rsidR="00FE2CF4" w:rsidRPr="004F4402" w:rsidRDefault="00FE2CF4" w:rsidP="00FE2CF4">
      <w:pPr>
        <w:spacing w:after="0" w:line="240" w:lineRule="auto"/>
        <w:jc w:val="both"/>
        <w:rPr>
          <w:rFonts w:eastAsia="Times New Roman" w:cstheme="minorHAnsi"/>
        </w:rPr>
      </w:pPr>
    </w:p>
    <w:p w14:paraId="68ABCBEB"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VARA holds the authority to impose additional conditions on FRVA issuance beyond standard requirements.</w:t>
      </w:r>
    </w:p>
    <w:p w14:paraId="2A1A9321" w14:textId="77777777" w:rsidR="00FE2CF4" w:rsidRPr="004F4402" w:rsidRDefault="00FE2CF4" w:rsidP="00FE2CF4">
      <w:pPr>
        <w:spacing w:after="0" w:line="240" w:lineRule="auto"/>
        <w:jc w:val="both"/>
        <w:rPr>
          <w:rFonts w:eastAsia="Times New Roman" w:cstheme="minorHAnsi"/>
        </w:rPr>
      </w:pPr>
    </w:p>
    <w:p w14:paraId="21BADB14" w14:textId="77777777" w:rsidR="004F4402" w:rsidRPr="00EB675D"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Failure to comply with these regulations can lead to revocation of approval or other regulatory actions.</w:t>
      </w:r>
    </w:p>
    <w:p w14:paraId="64B70CE5" w14:textId="77777777" w:rsidR="004F4402" w:rsidRPr="004F4402" w:rsidRDefault="004F4402" w:rsidP="00EB675D">
      <w:pPr>
        <w:spacing w:after="0" w:line="240" w:lineRule="auto"/>
        <w:ind w:left="1080"/>
        <w:jc w:val="both"/>
        <w:rPr>
          <w:rFonts w:eastAsia="Times New Roman" w:cstheme="minorHAnsi"/>
        </w:rPr>
      </w:pPr>
    </w:p>
    <w:p w14:paraId="1873468A" w14:textId="77777777" w:rsidR="004F4402" w:rsidRPr="00EB675D" w:rsidRDefault="004F4402" w:rsidP="00EB675D">
      <w:pPr>
        <w:spacing w:after="0" w:line="240" w:lineRule="auto"/>
        <w:ind w:left="360"/>
        <w:jc w:val="both"/>
        <w:rPr>
          <w:rFonts w:eastAsia="Times New Roman" w:cstheme="minorHAnsi"/>
        </w:rPr>
      </w:pPr>
      <w:proofErr w:type="gramStart"/>
      <w:r w:rsidRPr="004F4402">
        <w:rPr>
          <w:rFonts w:eastAsia="Times New Roman" w:cstheme="minorHAnsi"/>
        </w:rPr>
        <w:t>The CBUAE's</w:t>
      </w:r>
      <w:proofErr w:type="gramEnd"/>
      <w:r w:rsidRPr="004F4402">
        <w:rPr>
          <w:rFonts w:eastAsia="Times New Roman" w:cstheme="minorHAnsi"/>
        </w:rPr>
        <w:t xml:space="preserve"> new regulations will only allow businesses in the UAE to accept dirham-backed </w:t>
      </w:r>
      <w:proofErr w:type="gramStart"/>
      <w:r w:rsidRPr="004F4402">
        <w:rPr>
          <w:rFonts w:eastAsia="Times New Roman" w:cstheme="minorHAnsi"/>
        </w:rPr>
        <w:t>stablecoins</w:t>
      </w:r>
      <w:proofErr w:type="gramEnd"/>
      <w:r w:rsidRPr="004F4402">
        <w:rPr>
          <w:rFonts w:eastAsia="Times New Roman" w:cstheme="minorHAnsi"/>
        </w:rPr>
        <w:t xml:space="preserve"> for transactions, restricting the use of foreign </w:t>
      </w:r>
      <w:proofErr w:type="gramStart"/>
      <w:r w:rsidRPr="004F4402">
        <w:rPr>
          <w:rFonts w:eastAsia="Times New Roman" w:cstheme="minorHAnsi"/>
        </w:rPr>
        <w:t>stablecoins</w:t>
      </w:r>
      <w:proofErr w:type="gramEnd"/>
      <w:r w:rsidRPr="004F4402">
        <w:rPr>
          <w:rFonts w:eastAsia="Times New Roman" w:cstheme="minorHAnsi"/>
        </w:rPr>
        <w:t xml:space="preserve"> like Tether or USDC for payments related to goods and services. Foreign payment tokens may still be used for specific virtual asset purchases, fostering a structured environment for crypto transactions while maintaining regulatory compliance.</w:t>
      </w:r>
    </w:p>
    <w:p w14:paraId="2AFE235A" w14:textId="77777777" w:rsidR="004F4402" w:rsidRPr="004F4402" w:rsidRDefault="004F4402" w:rsidP="00EB675D">
      <w:pPr>
        <w:spacing w:after="0" w:line="240" w:lineRule="auto"/>
        <w:ind w:left="360"/>
        <w:jc w:val="both"/>
        <w:rPr>
          <w:rFonts w:eastAsia="Times New Roman" w:cstheme="minorHAnsi"/>
        </w:rPr>
      </w:pPr>
    </w:p>
    <w:p w14:paraId="1965DF6C" w14:textId="729EF0C2"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NFTs</w:t>
      </w:r>
      <w:r w:rsidRPr="004F4402">
        <w:rPr>
          <w:rFonts w:eastAsia="Times New Roman" w:cstheme="minorHAnsi"/>
        </w:rPr>
        <w:t xml:space="preserve">: In Dubai, NFTs are regulated under the framework established by the Dubai VARA. Although NFTs are not automatically classified as virtual assets, financial institutions and banks must carefully evaluate their nature, especially when engaging with businesses that deal with them. This is due to the potential for some NFTs, particularly fractionalised ones or those </w:t>
      </w:r>
      <w:proofErr w:type="gramStart"/>
      <w:r w:rsidRPr="004F4402">
        <w:rPr>
          <w:rFonts w:eastAsia="Times New Roman" w:cstheme="minorHAnsi"/>
        </w:rPr>
        <w:t>part</w:t>
      </w:r>
      <w:proofErr w:type="gramEnd"/>
      <w:r w:rsidRPr="004F4402">
        <w:rPr>
          <w:rFonts w:eastAsia="Times New Roman" w:cstheme="minorHAnsi"/>
        </w:rPr>
        <w:t xml:space="preserve"> of larger collections, to be treated similarly to securities. </w:t>
      </w:r>
    </w:p>
    <w:p w14:paraId="1E4C7C94" w14:textId="77777777" w:rsidR="004F4402" w:rsidRPr="004F4402" w:rsidRDefault="004F4402" w:rsidP="00EB675D">
      <w:pPr>
        <w:spacing w:after="0" w:line="240" w:lineRule="auto"/>
        <w:ind w:left="360"/>
        <w:jc w:val="both"/>
        <w:rPr>
          <w:rFonts w:eastAsia="Times New Roman" w:cstheme="minorHAnsi"/>
        </w:rPr>
      </w:pPr>
    </w:p>
    <w:p w14:paraId="7438EA0E"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 xml:space="preserve">Under VARA’s regulations, NFTs are recognized as a type of virtual asset. However, in cases where NFTs are fractionalized or part of a larger collection, banks and financial institutions must conduct thorough evaluations to determine whether they should be classified as securities. This requirement ensures that institutions understand the risks and obligations associated with dealing </w:t>
      </w:r>
      <w:proofErr w:type="gramStart"/>
      <w:r w:rsidRPr="004F4402">
        <w:rPr>
          <w:rFonts w:eastAsia="Times New Roman" w:cstheme="minorHAnsi"/>
        </w:rPr>
        <w:t>in</w:t>
      </w:r>
      <w:proofErr w:type="gramEnd"/>
      <w:r w:rsidRPr="004F4402">
        <w:rPr>
          <w:rFonts w:eastAsia="Times New Roman" w:cstheme="minorHAnsi"/>
        </w:rPr>
        <w:t xml:space="preserve"> such assets.</w:t>
      </w:r>
    </w:p>
    <w:p w14:paraId="3AABFDFF" w14:textId="77777777" w:rsidR="004F4402" w:rsidRPr="004F4402" w:rsidRDefault="004F4402" w:rsidP="00EB675D">
      <w:pPr>
        <w:spacing w:after="0" w:line="240" w:lineRule="auto"/>
        <w:ind w:left="360"/>
        <w:jc w:val="both"/>
        <w:rPr>
          <w:rFonts w:eastAsia="Times New Roman" w:cstheme="minorHAnsi"/>
        </w:rPr>
      </w:pPr>
    </w:p>
    <w:p w14:paraId="4678014A"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The regulatory framework for NFTs falls under the Virtual Assets and Related Activities Regulations 2023, which were issued by VARA on February 7, 2023. These regulations apply to all VASPs operating in Dubai, including those dealing with NFTs. VASPs are required to obtain a license from VARA, which involves demonstrating sufficient financial resources, adhering to customer due diligence protocols, and establishing risk management policies. For NFTs that may be considered securities, banks and financial institutions are required to obtain legal opinions regarding their classification before entering into agreements with businesses that issue or trade NFTs. This helps ensure that financial institutions fully understand the nature of the assets they are dealing with and comply with the appropriate regulatory standards. Furthermore, VASPs are required to follow strict governance controls and risk management frameworks to mitigate the potential risks associated with NFT transactions.</w:t>
      </w:r>
    </w:p>
    <w:p w14:paraId="6B8A40A1" w14:textId="77777777" w:rsidR="004F4402" w:rsidRPr="004F4402" w:rsidRDefault="004F4402" w:rsidP="00EB675D">
      <w:pPr>
        <w:spacing w:after="0" w:line="240" w:lineRule="auto"/>
        <w:ind w:left="360"/>
        <w:jc w:val="both"/>
        <w:rPr>
          <w:rFonts w:eastAsia="Times New Roman" w:cstheme="minorHAnsi"/>
        </w:rPr>
      </w:pPr>
    </w:p>
    <w:p w14:paraId="3DD7B551" w14:textId="04D6446F" w:rsidR="000A68F2" w:rsidRPr="00EB675D" w:rsidRDefault="004F4402" w:rsidP="00EB675D">
      <w:pPr>
        <w:spacing w:after="0" w:line="240" w:lineRule="auto"/>
        <w:ind w:left="360"/>
        <w:jc w:val="both"/>
        <w:rPr>
          <w:rFonts w:eastAsia="Times New Roman" w:cstheme="minorHAnsi"/>
          <w:lang w:val="en-SG"/>
        </w:rPr>
      </w:pPr>
      <w:r w:rsidRPr="00EB675D">
        <w:rPr>
          <w:rFonts w:eastAsia="Times New Roman" w:cstheme="minorHAnsi"/>
        </w:rPr>
        <w:t>Additionally, VARA has introduced specific market conduct and transparency rules for the marketing and advertising of NFTs. These regulations are designed to protect consumers by ensuring transparency and preventing misleading marketing practices. Non-compliance with these regulations can result in penalties ranging from AED 20,000 to AED 200,000, highlighting the importance of adhering to regulatory standards.</w:t>
      </w:r>
    </w:p>
    <w:p w14:paraId="53B5A20C" w14:textId="77777777" w:rsidR="004F4402" w:rsidRPr="00EB675D" w:rsidRDefault="004F4402" w:rsidP="00EB675D">
      <w:pPr>
        <w:spacing w:after="0" w:line="240" w:lineRule="auto"/>
        <w:ind w:left="360"/>
        <w:jc w:val="both"/>
        <w:rPr>
          <w:rFonts w:eastAsia="Times New Roman" w:cstheme="minorHAnsi"/>
          <w:b/>
          <w:bCs/>
          <w:u w:val="single"/>
          <w:lang w:val="en-SG"/>
        </w:rPr>
      </w:pPr>
    </w:p>
    <w:p w14:paraId="141F1C35" w14:textId="50C4D86F" w:rsidR="00B36B1B" w:rsidRPr="00EB675D" w:rsidRDefault="009E6883" w:rsidP="001E6213">
      <w:pPr>
        <w:pStyle w:val="Heading2"/>
      </w:pPr>
      <w:bookmarkStart w:id="9" w:name="_Toc194937378"/>
      <w:r w:rsidRPr="00EB675D">
        <w:t xml:space="preserve">Are decentralised finance (DeFi) activities (e.g. lending virtual assets) regulated </w:t>
      </w:r>
      <w:r w:rsidR="00DD2CD2" w:rsidRPr="00EB675D">
        <w:t xml:space="preserve">in </w:t>
      </w:r>
      <w:r w:rsidR="00314D4A" w:rsidRPr="00EB675D">
        <w:t>Dubai (UAE)</w:t>
      </w:r>
      <w:r w:rsidRPr="00EB675D">
        <w:t>?</w:t>
      </w:r>
      <w:bookmarkEnd w:id="9"/>
    </w:p>
    <w:p w14:paraId="3A0A72BE" w14:textId="77777777" w:rsidR="00B36B1B" w:rsidRPr="00EB675D" w:rsidRDefault="00B36B1B" w:rsidP="00EB675D">
      <w:pPr>
        <w:spacing w:after="0" w:line="240" w:lineRule="auto"/>
        <w:jc w:val="both"/>
        <w:rPr>
          <w:rFonts w:eastAsia="Times New Roman" w:cstheme="minorHAnsi"/>
          <w:lang w:val="en-SG"/>
        </w:rPr>
      </w:pPr>
    </w:p>
    <w:p w14:paraId="11B9D226"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DeFi, short for Decentralised Finance, is a fresh approach to financial services. Instead of relying on traditional banks or intermediaries, it harnesses smart contracts on a special kind of computer network called a public Distributed Ledger Technology (</w:t>
      </w:r>
      <w:r w:rsidRPr="000000FF">
        <w:rPr>
          <w:rFonts w:eastAsia="Times New Roman" w:cstheme="minorHAnsi"/>
          <w:b/>
          <w:bCs/>
        </w:rPr>
        <w:t>DLT</w:t>
      </w:r>
      <w:r w:rsidRPr="000000FF">
        <w:rPr>
          <w:rFonts w:eastAsia="Times New Roman" w:cstheme="minorHAnsi"/>
        </w:rPr>
        <w:t>). This network consists of many computers working together without a single owner. In the DeFi system, financial activities like lending, investing, and asset exchange happen without the need for a typical middleman. Smart contracts, which act like digital agreements, automatically manage these transactions.</w:t>
      </w:r>
    </w:p>
    <w:p w14:paraId="7473431F" w14:textId="77777777" w:rsidR="000000FF" w:rsidRPr="000000FF" w:rsidRDefault="000000FF" w:rsidP="00EB675D">
      <w:pPr>
        <w:spacing w:after="0" w:line="240" w:lineRule="auto"/>
        <w:ind w:left="360"/>
        <w:jc w:val="both"/>
        <w:rPr>
          <w:rFonts w:eastAsia="Times New Roman" w:cstheme="minorHAnsi"/>
        </w:rPr>
      </w:pPr>
    </w:p>
    <w:p w14:paraId="20BFC47D"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The provisions for DeFi activities are included in Part III of the Virtual Assets and Related Activities Regulations 2023. Here are some of the highlights of the rules for DeFi activities:</w:t>
      </w:r>
    </w:p>
    <w:p w14:paraId="1249FB00" w14:textId="77777777" w:rsidR="000000FF" w:rsidRPr="000000FF" w:rsidRDefault="000000FF" w:rsidP="00EB675D">
      <w:pPr>
        <w:spacing w:after="0" w:line="240" w:lineRule="auto"/>
        <w:ind w:left="360"/>
        <w:jc w:val="both"/>
        <w:rPr>
          <w:rFonts w:eastAsia="Times New Roman" w:cstheme="minorHAnsi"/>
        </w:rPr>
      </w:pPr>
    </w:p>
    <w:p w14:paraId="77E1AA3A"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are required to obtain a license from </w:t>
      </w:r>
      <w:proofErr w:type="gramStart"/>
      <w:r w:rsidRPr="000000FF">
        <w:rPr>
          <w:rFonts w:eastAsia="Times New Roman" w:cstheme="minorHAnsi"/>
        </w:rPr>
        <w:t>the VARA</w:t>
      </w:r>
      <w:proofErr w:type="gramEnd"/>
      <w:r w:rsidRPr="000000FF">
        <w:rPr>
          <w:rFonts w:eastAsia="Times New Roman" w:cstheme="minorHAnsi"/>
        </w:rPr>
        <w:t xml:space="preserve"> before conducting any DeFi activities in </w:t>
      </w:r>
      <w:proofErr w:type="gramStart"/>
      <w:r w:rsidRPr="000000FF">
        <w:rPr>
          <w:rFonts w:eastAsia="Times New Roman" w:cstheme="minorHAnsi"/>
        </w:rPr>
        <w:t>the Emirate</w:t>
      </w:r>
      <w:proofErr w:type="gramEnd"/>
      <w:r w:rsidRPr="000000FF">
        <w:rPr>
          <w:rFonts w:eastAsia="Times New Roman" w:cstheme="minorHAnsi"/>
        </w:rPr>
        <w:t>.</w:t>
      </w:r>
    </w:p>
    <w:p w14:paraId="4DD2C4D9" w14:textId="77777777" w:rsidR="00F86D19" w:rsidRPr="000000FF" w:rsidRDefault="00F86D19" w:rsidP="00F86D19">
      <w:pPr>
        <w:spacing w:after="0" w:line="240" w:lineRule="auto"/>
        <w:ind w:left="1080"/>
        <w:jc w:val="both"/>
        <w:rPr>
          <w:rFonts w:eastAsia="Times New Roman" w:cstheme="minorHAnsi"/>
        </w:rPr>
      </w:pPr>
    </w:p>
    <w:p w14:paraId="274C6377"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license application process includes providing information about the planned DeFi activities, financial information, and background checks on individuals associated with the application.</w:t>
      </w:r>
    </w:p>
    <w:p w14:paraId="293E3137" w14:textId="77777777" w:rsidR="00F86D19" w:rsidRPr="000000FF" w:rsidRDefault="00F86D19" w:rsidP="00F86D19">
      <w:pPr>
        <w:spacing w:after="0" w:line="240" w:lineRule="auto"/>
        <w:jc w:val="both"/>
        <w:rPr>
          <w:rFonts w:eastAsia="Times New Roman" w:cstheme="minorHAnsi"/>
        </w:rPr>
      </w:pPr>
    </w:p>
    <w:p w14:paraId="38909164"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DeFi activities that can be conducted by DeFi operators include, but are not limited to, lending, borrowing, exchanging, and investing.</w:t>
      </w:r>
    </w:p>
    <w:p w14:paraId="4D537675" w14:textId="77777777" w:rsidR="00F86D19" w:rsidRPr="000000FF" w:rsidRDefault="00F86D19" w:rsidP="00F86D19">
      <w:pPr>
        <w:spacing w:after="0" w:line="240" w:lineRule="auto"/>
        <w:jc w:val="both"/>
        <w:rPr>
          <w:rFonts w:eastAsia="Times New Roman" w:cstheme="minorHAnsi"/>
        </w:rPr>
      </w:pPr>
    </w:p>
    <w:p w14:paraId="1D2675E8"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Decentralised exchanges (</w:t>
      </w:r>
      <w:r w:rsidRPr="000000FF">
        <w:rPr>
          <w:rFonts w:eastAsia="Times New Roman" w:cstheme="minorHAnsi"/>
          <w:b/>
          <w:bCs/>
        </w:rPr>
        <w:t>DEXs</w:t>
      </w:r>
      <w:r w:rsidRPr="000000FF">
        <w:rPr>
          <w:rFonts w:eastAsia="Times New Roman" w:cstheme="minorHAnsi"/>
        </w:rPr>
        <w:t>) providing DeFi Activities are subject to various regulatory requirements, such as regulations to prevent market manipulation, insider trading, and other illicit activities.</w:t>
      </w:r>
    </w:p>
    <w:p w14:paraId="275F9A3A" w14:textId="77777777" w:rsidR="00F86D19" w:rsidRPr="000000FF" w:rsidRDefault="00F86D19" w:rsidP="00F86D19">
      <w:pPr>
        <w:spacing w:after="0" w:line="240" w:lineRule="auto"/>
        <w:jc w:val="both"/>
        <w:rPr>
          <w:rFonts w:eastAsia="Times New Roman" w:cstheme="minorHAnsi"/>
        </w:rPr>
      </w:pPr>
    </w:p>
    <w:p w14:paraId="6786112E"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must comply with AML/CFT </w:t>
      </w:r>
      <w:proofErr w:type="gramStart"/>
      <w:r w:rsidRPr="000000FF">
        <w:rPr>
          <w:rFonts w:eastAsia="Times New Roman" w:cstheme="minorHAnsi"/>
        </w:rPr>
        <w:t>regulations</w:t>
      </w:r>
      <w:proofErr w:type="gramEnd"/>
      <w:r w:rsidRPr="000000FF">
        <w:rPr>
          <w:rFonts w:eastAsia="Times New Roman" w:cstheme="minorHAnsi"/>
        </w:rPr>
        <w:t xml:space="preserve"> and any other relevant regulations as deemed by VARA.</w:t>
      </w:r>
    </w:p>
    <w:p w14:paraId="5D11C900" w14:textId="77777777" w:rsidR="00F86D19" w:rsidRPr="000000FF" w:rsidRDefault="00F86D19" w:rsidP="00F86D19">
      <w:pPr>
        <w:spacing w:after="0" w:line="240" w:lineRule="auto"/>
        <w:jc w:val="both"/>
        <w:rPr>
          <w:rFonts w:eastAsia="Times New Roman" w:cstheme="minorHAnsi"/>
        </w:rPr>
      </w:pPr>
    </w:p>
    <w:p w14:paraId="1D4E11FE" w14:textId="77777777" w:rsidR="000000FF" w:rsidRPr="00EB675D"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VARA has prohibited the issuance and use of anonymity-enhanced cryptocurrencies within its jurisdiction, reinforcing its commitment to transparency in financial transactions.</w:t>
      </w:r>
    </w:p>
    <w:p w14:paraId="67B18833" w14:textId="77777777" w:rsidR="000000FF" w:rsidRPr="000000FF" w:rsidRDefault="000000FF" w:rsidP="00EB675D">
      <w:pPr>
        <w:spacing w:after="0" w:line="240" w:lineRule="auto"/>
        <w:ind w:left="1080"/>
        <w:jc w:val="both"/>
        <w:rPr>
          <w:rFonts w:eastAsia="Times New Roman" w:cstheme="minorHAnsi"/>
        </w:rPr>
      </w:pPr>
    </w:p>
    <w:p w14:paraId="44ABE696" w14:textId="5714EF8D" w:rsidR="000000FF" w:rsidRPr="00EB675D" w:rsidRDefault="000000FF" w:rsidP="00EB675D">
      <w:pPr>
        <w:spacing w:after="0" w:line="240" w:lineRule="auto"/>
        <w:ind w:left="360"/>
        <w:jc w:val="both"/>
        <w:rPr>
          <w:rFonts w:eastAsia="Times New Roman" w:cstheme="minorHAnsi"/>
          <w:lang w:val="en-SG"/>
        </w:rPr>
      </w:pPr>
      <w:r w:rsidRPr="00EB675D">
        <w:rPr>
          <w:rFonts w:eastAsia="Times New Roman" w:cstheme="minorHAnsi"/>
        </w:rPr>
        <w:t>VARA will conduct regular inspections and audits of licensed DeFi operators to ensure compliance with regulations.</w:t>
      </w:r>
    </w:p>
    <w:p w14:paraId="76CEAFBA" w14:textId="77777777" w:rsidR="00BA779F" w:rsidRPr="00EB675D" w:rsidRDefault="00BA779F" w:rsidP="00EB675D">
      <w:pPr>
        <w:spacing w:after="0" w:line="240" w:lineRule="auto"/>
        <w:ind w:left="360"/>
        <w:jc w:val="both"/>
        <w:rPr>
          <w:rFonts w:eastAsia="Times New Roman" w:cstheme="minorHAnsi"/>
          <w:b/>
          <w:bCs/>
          <w:u w:val="single"/>
          <w:lang w:val="en-SG"/>
        </w:rPr>
      </w:pPr>
    </w:p>
    <w:p w14:paraId="075C9A46" w14:textId="3D2DCA4C" w:rsidR="0074504D" w:rsidRPr="00EB675D" w:rsidRDefault="009E6883" w:rsidP="001E6213">
      <w:pPr>
        <w:pStyle w:val="Heading2"/>
      </w:pPr>
      <w:bookmarkStart w:id="10" w:name="_Toc194937379"/>
      <w:r w:rsidRPr="00EB675D">
        <w:t xml:space="preserve">Are there any restrictions on issuing or publicly offering virtual assets </w:t>
      </w:r>
      <w:r w:rsidR="00DD2CD2" w:rsidRPr="00EB675D">
        <w:t xml:space="preserve">in </w:t>
      </w:r>
      <w:r w:rsidR="00314D4A" w:rsidRPr="00EB675D">
        <w:t>Dubai (UAE)</w:t>
      </w:r>
      <w:r w:rsidRPr="00EB675D">
        <w:t>?</w:t>
      </w:r>
      <w:bookmarkEnd w:id="10"/>
    </w:p>
    <w:p w14:paraId="3BE3CDCF" w14:textId="77777777" w:rsidR="00775445" w:rsidRPr="00EB675D" w:rsidRDefault="00775445" w:rsidP="00EB675D">
      <w:pPr>
        <w:spacing w:after="0" w:line="240" w:lineRule="auto"/>
        <w:ind w:left="360"/>
        <w:jc w:val="both"/>
        <w:rPr>
          <w:rFonts w:eastAsia="Times New Roman" w:cstheme="minorHAnsi"/>
          <w:b/>
          <w:bCs/>
          <w:u w:val="single"/>
          <w:lang w:val="en-SG"/>
        </w:rPr>
      </w:pPr>
    </w:p>
    <w:p w14:paraId="32898D0F" w14:textId="77777777" w:rsidR="00621A16" w:rsidRPr="00EB675D" w:rsidRDefault="00621A16" w:rsidP="00EB675D">
      <w:pPr>
        <w:spacing w:after="0" w:line="240" w:lineRule="auto"/>
        <w:ind w:left="360"/>
        <w:jc w:val="both"/>
        <w:rPr>
          <w:rFonts w:eastAsia="Times New Roman" w:cstheme="minorHAnsi"/>
        </w:rPr>
      </w:pPr>
      <w:r w:rsidRPr="00621A16">
        <w:rPr>
          <w:rFonts w:eastAsia="Times New Roman" w:cstheme="minorHAnsi"/>
        </w:rPr>
        <w:t>The Virtual Assets and Related Activities Regulations 2023 prescribe certain requirements and restrictions on the issuing or public offering of virtual assets in Dubai:</w:t>
      </w:r>
    </w:p>
    <w:p w14:paraId="23BAEC3C" w14:textId="77777777" w:rsidR="00621A16" w:rsidRPr="00621A16" w:rsidRDefault="00621A16" w:rsidP="00EB675D">
      <w:pPr>
        <w:spacing w:after="0" w:line="240" w:lineRule="auto"/>
        <w:ind w:left="360"/>
        <w:jc w:val="both"/>
        <w:rPr>
          <w:rFonts w:eastAsia="Times New Roman" w:cstheme="minorHAnsi"/>
        </w:rPr>
      </w:pPr>
    </w:p>
    <w:p w14:paraId="61F54DA4"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lastRenderedPageBreak/>
        <w:t>Issuance Rules</w:t>
      </w:r>
      <w:r w:rsidRPr="00621A16">
        <w:rPr>
          <w:rFonts w:eastAsia="Times New Roman" w:cstheme="minorHAnsi"/>
        </w:rPr>
        <w:t xml:space="preserve">: Any entity in the Emirate that issues a Virtual Asset </w:t>
      </w:r>
      <w:proofErr w:type="gramStart"/>
      <w:r w:rsidRPr="00621A16">
        <w:rPr>
          <w:rFonts w:eastAsia="Times New Roman" w:cstheme="minorHAnsi"/>
        </w:rPr>
        <w:t>in the course of</w:t>
      </w:r>
      <w:proofErr w:type="gramEnd"/>
      <w:r w:rsidRPr="00621A16">
        <w:rPr>
          <w:rFonts w:eastAsia="Times New Roman" w:cstheme="minorHAnsi"/>
        </w:rPr>
        <w:t xml:space="preserve"> a business must comply with the VA Issuance Rulebook, as may be amended from time to time.</w:t>
      </w:r>
    </w:p>
    <w:p w14:paraId="1AB07A93" w14:textId="77777777" w:rsidR="00621A16" w:rsidRPr="00621A16" w:rsidRDefault="00621A16" w:rsidP="00EB675D">
      <w:pPr>
        <w:spacing w:after="0" w:line="240" w:lineRule="auto"/>
        <w:ind w:left="720"/>
        <w:jc w:val="both"/>
        <w:rPr>
          <w:rFonts w:eastAsia="Times New Roman" w:cstheme="minorHAnsi"/>
        </w:rPr>
      </w:pPr>
    </w:p>
    <w:p w14:paraId="7F5B25C0"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Power to classify Virtual Assets</w:t>
      </w:r>
      <w:r w:rsidRPr="00621A16">
        <w:rPr>
          <w:rFonts w:eastAsia="Times New Roman" w:cstheme="minorHAnsi"/>
        </w:rPr>
        <w:t>: VARA has the sole and absolute discretion to classify any Virtual Asset or type of Virtual Asset as being prohibited in the Emirate, and to provide clarification or opinion on the regulatory treatment of any Virtual Asset or type of Virtual Asset.</w:t>
      </w:r>
    </w:p>
    <w:p w14:paraId="66C43A79" w14:textId="77777777" w:rsidR="00621A16" w:rsidRPr="00621A16" w:rsidRDefault="00621A16" w:rsidP="00EB675D">
      <w:pPr>
        <w:spacing w:after="0" w:line="240" w:lineRule="auto"/>
        <w:ind w:left="720"/>
        <w:jc w:val="both"/>
        <w:rPr>
          <w:rFonts w:eastAsia="Times New Roman" w:cstheme="minorHAnsi"/>
        </w:rPr>
      </w:pPr>
    </w:p>
    <w:p w14:paraId="11041A63"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Prohibited Virtual Assets</w:t>
      </w:r>
      <w:r w:rsidRPr="00621A16">
        <w:rPr>
          <w:rFonts w:eastAsia="Times New Roman" w:cstheme="minorHAnsi"/>
        </w:rPr>
        <w:t>: Virtual Assets that may facilitate money laundering or terrorism financing are prohibited, as provided under Article 17 of Law No. 4 of 2022 Regulating Virtual Assets in the Emirate of Dubai. Furthermore, VARA may prohibit Virtual Assets if they are deemed to pose risks to consumers, investors, or market integrity.</w:t>
      </w:r>
    </w:p>
    <w:p w14:paraId="6575070D" w14:textId="77777777" w:rsidR="00621A16" w:rsidRPr="00621A16" w:rsidRDefault="00621A16" w:rsidP="00EB675D">
      <w:pPr>
        <w:spacing w:after="0" w:line="240" w:lineRule="auto"/>
        <w:ind w:left="720"/>
        <w:jc w:val="both"/>
        <w:rPr>
          <w:rFonts w:eastAsia="Times New Roman" w:cstheme="minorHAnsi"/>
        </w:rPr>
      </w:pPr>
    </w:p>
    <w:p w14:paraId="559C7BA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Licensing Requirements</w:t>
      </w:r>
      <w:r w:rsidRPr="00621A16">
        <w:rPr>
          <w:rFonts w:eastAsia="Times New Roman" w:cstheme="minorHAnsi"/>
        </w:rPr>
        <w:t xml:space="preserve">: Any entity providing Virtual Asset-related activities or services must be licensed by VARA, subject to the fulfillment of certain requirements. </w:t>
      </w:r>
      <w:proofErr w:type="gramStart"/>
      <w:r w:rsidRPr="00621A16">
        <w:rPr>
          <w:rFonts w:eastAsia="Times New Roman" w:cstheme="minorHAnsi"/>
        </w:rPr>
        <w:t>In particular, VARA</w:t>
      </w:r>
      <w:proofErr w:type="gramEnd"/>
      <w:r w:rsidRPr="00621A16">
        <w:rPr>
          <w:rFonts w:eastAsia="Times New Roman" w:cstheme="minorHAnsi"/>
        </w:rPr>
        <w:t xml:space="preserve"> may grant a license if the entity has met the specified criteria, including fitness and propriety or soundness of its financial affairs.</w:t>
      </w:r>
    </w:p>
    <w:p w14:paraId="6F4182A6" w14:textId="77777777" w:rsidR="00621A16" w:rsidRPr="00621A16" w:rsidRDefault="00621A16" w:rsidP="00EB675D">
      <w:pPr>
        <w:spacing w:after="0" w:line="240" w:lineRule="auto"/>
        <w:ind w:left="720"/>
        <w:jc w:val="both"/>
        <w:rPr>
          <w:rFonts w:eastAsia="Times New Roman" w:cstheme="minorHAnsi"/>
        </w:rPr>
      </w:pPr>
    </w:p>
    <w:p w14:paraId="3F3DFC3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Compliance with Directives</w:t>
      </w:r>
      <w:r w:rsidRPr="00621A16">
        <w:rPr>
          <w:rFonts w:eastAsia="Times New Roman" w:cstheme="minorHAnsi"/>
        </w:rPr>
        <w:t>: VARA may issue directives to any Entity or VASP, requiring them to comply with specific regulatory capital or liquidity requirements, or requiring them to refrain from taking certain actions, in addition to the requirements set out in the Regulations or Rules.</w:t>
      </w:r>
    </w:p>
    <w:p w14:paraId="48027339" w14:textId="77777777" w:rsidR="00621A16" w:rsidRPr="00621A16" w:rsidRDefault="00621A16" w:rsidP="00EB675D">
      <w:pPr>
        <w:spacing w:after="0" w:line="240" w:lineRule="auto"/>
        <w:ind w:left="720"/>
        <w:jc w:val="both"/>
        <w:rPr>
          <w:rFonts w:eastAsia="Times New Roman" w:cstheme="minorHAnsi"/>
        </w:rPr>
      </w:pPr>
    </w:p>
    <w:p w14:paraId="210B1AFD" w14:textId="77777777" w:rsidR="00621A16" w:rsidRPr="00EB675D"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Anonymity-Enhanced Cryptocurrencies</w:t>
      </w:r>
      <w:r w:rsidRPr="00621A16">
        <w:rPr>
          <w:rFonts w:eastAsia="Times New Roman" w:cstheme="minorHAnsi"/>
        </w:rPr>
        <w:t>: The issuance of Anonymity-Enhanced Cryptocurrencies and all Virtual Asset Activity related to them is completely prohibited in Dubai.</w:t>
      </w:r>
    </w:p>
    <w:p w14:paraId="4FCD1F1B" w14:textId="77777777" w:rsidR="00621A16" w:rsidRPr="00621A16" w:rsidRDefault="00621A16" w:rsidP="00EB675D">
      <w:pPr>
        <w:spacing w:after="0" w:line="240" w:lineRule="auto"/>
        <w:jc w:val="both"/>
        <w:rPr>
          <w:rFonts w:eastAsia="Times New Roman" w:cstheme="minorHAnsi"/>
        </w:rPr>
      </w:pPr>
    </w:p>
    <w:p w14:paraId="41FA1878" w14:textId="4217281D" w:rsidR="00621A16" w:rsidRPr="00EB675D" w:rsidRDefault="00621A16" w:rsidP="00EB675D">
      <w:pPr>
        <w:spacing w:after="0" w:line="240" w:lineRule="auto"/>
        <w:ind w:left="360"/>
        <w:jc w:val="both"/>
        <w:rPr>
          <w:rFonts w:eastAsia="Times New Roman" w:cstheme="minorHAnsi"/>
          <w:lang w:val="en-SG"/>
        </w:rPr>
      </w:pPr>
      <w:r w:rsidRPr="00EB675D">
        <w:rPr>
          <w:rFonts w:eastAsia="Times New Roman" w:cstheme="minorHAnsi"/>
        </w:rPr>
        <w:t>Anonymity-enhanced cryptocurrencies are digital currencies designed to provide users with extra privacy. They aim to make transactions and user identities more difficult to trace or link, offering a higher level of confidentiality compared to traditional cryptocurrencies.</w:t>
      </w:r>
    </w:p>
    <w:p w14:paraId="6403D276" w14:textId="77777777" w:rsidR="000A72C0" w:rsidRPr="00EB675D" w:rsidRDefault="000A72C0" w:rsidP="00EB675D">
      <w:pPr>
        <w:spacing w:after="0" w:line="240" w:lineRule="auto"/>
        <w:ind w:left="360"/>
        <w:jc w:val="both"/>
        <w:rPr>
          <w:rFonts w:eastAsia="Times New Roman" w:cstheme="minorHAnsi"/>
          <w:b/>
          <w:bCs/>
          <w:u w:val="single"/>
          <w:lang w:val="en-SG"/>
        </w:rPr>
      </w:pPr>
    </w:p>
    <w:p w14:paraId="1D17324E" w14:textId="1A26A3E8" w:rsidR="004311E2" w:rsidRPr="00EB675D" w:rsidRDefault="009E6883" w:rsidP="001E6213">
      <w:pPr>
        <w:pStyle w:val="Heading2"/>
      </w:pPr>
      <w:bookmarkStart w:id="11" w:name="_Toc194937380"/>
      <w:r w:rsidRPr="00EB675D">
        <w:t xml:space="preserve">Are there any exemptions to the restrictions on issuing or publicly offering of virtual assets </w:t>
      </w:r>
      <w:r w:rsidR="00DD2CD2" w:rsidRPr="00EB675D">
        <w:t xml:space="preserve">in </w:t>
      </w:r>
      <w:r w:rsidR="00314D4A" w:rsidRPr="00EB675D">
        <w:t>Dubai (UAE)</w:t>
      </w:r>
      <w:r w:rsidRPr="00EB675D">
        <w:t>?</w:t>
      </w:r>
      <w:bookmarkEnd w:id="11"/>
    </w:p>
    <w:p w14:paraId="3CE99EDA" w14:textId="77777777" w:rsidR="00B36B1B" w:rsidRPr="00EB675D" w:rsidRDefault="00B36B1B" w:rsidP="00EB675D">
      <w:pPr>
        <w:spacing w:after="0" w:line="240" w:lineRule="auto"/>
        <w:ind w:left="360"/>
        <w:jc w:val="both"/>
        <w:rPr>
          <w:rFonts w:eastAsia="Times New Roman" w:cstheme="minorHAnsi"/>
          <w:b/>
          <w:bCs/>
          <w:u w:val="single"/>
          <w:lang w:val="en-SG"/>
        </w:rPr>
      </w:pPr>
    </w:p>
    <w:p w14:paraId="41F0CDE7"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There are some exemptions to the restrictions for virtual asset issuances in Dubai under certain conditions. Specifically, an Entity may issue a Virtual Asset in Dubai without first acquiring a VARA License or approval if it is deemed an Exempt Entity according to the Regulations. </w:t>
      </w:r>
    </w:p>
    <w:p w14:paraId="03A769B7" w14:textId="77777777" w:rsidR="0027335A" w:rsidRPr="0027335A" w:rsidRDefault="0027335A" w:rsidP="00EB675D">
      <w:pPr>
        <w:spacing w:after="0" w:line="240" w:lineRule="auto"/>
        <w:ind w:left="360"/>
        <w:jc w:val="both"/>
        <w:rPr>
          <w:rFonts w:eastAsia="Times New Roman" w:cstheme="minorHAnsi"/>
          <w:bCs/>
        </w:rPr>
      </w:pPr>
    </w:p>
    <w:p w14:paraId="4E17FC72"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An Entity is considered an Exempt Entity if </w:t>
      </w:r>
      <w:proofErr w:type="gramStart"/>
      <w:r w:rsidRPr="0027335A">
        <w:rPr>
          <w:rFonts w:eastAsia="Times New Roman" w:cstheme="minorHAnsi"/>
          <w:bCs/>
        </w:rPr>
        <w:t>all of</w:t>
      </w:r>
      <w:proofErr w:type="gramEnd"/>
      <w:r w:rsidRPr="0027335A">
        <w:rPr>
          <w:rFonts w:eastAsia="Times New Roman" w:cstheme="minorHAnsi"/>
          <w:bCs/>
        </w:rPr>
        <w:t xml:space="preserve"> the following conditions are met:</w:t>
      </w:r>
    </w:p>
    <w:p w14:paraId="3BDF3678" w14:textId="77777777" w:rsidR="0027335A" w:rsidRPr="0027335A" w:rsidRDefault="0027335A" w:rsidP="00EB675D">
      <w:pPr>
        <w:spacing w:after="0" w:line="240" w:lineRule="auto"/>
        <w:ind w:left="360"/>
        <w:jc w:val="both"/>
        <w:rPr>
          <w:rFonts w:eastAsia="Times New Roman" w:cstheme="minorHAnsi"/>
          <w:bCs/>
        </w:rPr>
      </w:pPr>
    </w:p>
    <w:p w14:paraId="093C7FFA" w14:textId="77777777" w:rsidR="0027335A"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consideration received by the Entity in connection with a VA issuance project does not exceed AED 2,000,000 per project or the equivalent amount in fiat currency or Virtual Assets.</w:t>
      </w:r>
    </w:p>
    <w:p w14:paraId="6222F73E" w14:textId="77777777" w:rsidR="00873429" w:rsidRPr="0027335A" w:rsidRDefault="00873429" w:rsidP="00873429">
      <w:pPr>
        <w:spacing w:after="0" w:line="240" w:lineRule="auto"/>
        <w:ind w:left="1080"/>
        <w:jc w:val="both"/>
        <w:rPr>
          <w:rFonts w:eastAsia="Times New Roman" w:cstheme="minorHAnsi"/>
          <w:bCs/>
        </w:rPr>
      </w:pPr>
    </w:p>
    <w:p w14:paraId="71065623" w14:textId="77777777" w:rsidR="0027335A" w:rsidRPr="00EB675D"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aggregate consideration received by the Entity in connection with all its VA issuances does not exceed AED 10,000,000 or the equivalent amount in fiat currency or Virtual Assets.</w:t>
      </w:r>
    </w:p>
    <w:p w14:paraId="1F17061F" w14:textId="77777777" w:rsidR="0027335A" w:rsidRPr="0027335A" w:rsidRDefault="0027335A" w:rsidP="00EB675D">
      <w:pPr>
        <w:spacing w:after="0" w:line="240" w:lineRule="auto"/>
        <w:ind w:left="1080"/>
        <w:jc w:val="both"/>
        <w:rPr>
          <w:rFonts w:eastAsia="Times New Roman" w:cstheme="minorHAnsi"/>
          <w:bCs/>
        </w:rPr>
      </w:pPr>
    </w:p>
    <w:p w14:paraId="1B235F06" w14:textId="07C6974E" w:rsidR="0027335A" w:rsidRPr="00EB675D" w:rsidRDefault="0027335A" w:rsidP="00EB675D">
      <w:pPr>
        <w:spacing w:after="0" w:line="240" w:lineRule="auto"/>
        <w:ind w:left="360"/>
        <w:jc w:val="both"/>
        <w:rPr>
          <w:rFonts w:eastAsia="Times New Roman" w:cstheme="minorHAnsi"/>
          <w:bCs/>
        </w:rPr>
      </w:pPr>
      <w:hyperlink r:id="rId37" w:history="1">
        <w:r w:rsidRPr="0027335A">
          <w:rPr>
            <w:rStyle w:val="Hyperlink"/>
            <w:rFonts w:eastAsia="Times New Roman" w:cstheme="minorHAnsi"/>
            <w:bCs/>
            <w:color w:val="FF6E00"/>
          </w:rPr>
          <w:t>VAT Exemptions</w:t>
        </w:r>
      </w:hyperlink>
      <w:r w:rsidRPr="0027335A">
        <w:rPr>
          <w:rFonts w:eastAsia="Times New Roman" w:cstheme="minorHAnsi"/>
          <w:bCs/>
        </w:rPr>
        <w:t>: Recent amendments to the UAE’s VAT regulations have exempted certain activities related to virtual assets from VAT. These include:</w:t>
      </w:r>
    </w:p>
    <w:p w14:paraId="67554354" w14:textId="77777777" w:rsidR="0027335A" w:rsidRPr="0027335A" w:rsidRDefault="0027335A" w:rsidP="00EB675D">
      <w:pPr>
        <w:spacing w:after="0" w:line="240" w:lineRule="auto"/>
        <w:jc w:val="both"/>
        <w:rPr>
          <w:rFonts w:eastAsia="Times New Roman" w:cstheme="minorHAnsi"/>
          <w:bCs/>
        </w:rPr>
      </w:pPr>
    </w:p>
    <w:p w14:paraId="370128A5" w14:textId="77777777" w:rsidR="0027335A"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Transfers and Conversions: The transfer of ownership and conversion of virtual assets, such as cryptocurrencies and NFTs, are exempt from the standard 5% VAT. This exemption applies retroactively from January 1, 2018.</w:t>
      </w:r>
    </w:p>
    <w:p w14:paraId="03FA1222" w14:textId="77777777" w:rsidR="00D872A0" w:rsidRPr="0027335A" w:rsidRDefault="00D872A0" w:rsidP="00D872A0">
      <w:pPr>
        <w:spacing w:after="0" w:line="240" w:lineRule="auto"/>
        <w:ind w:left="1080"/>
        <w:jc w:val="both"/>
        <w:rPr>
          <w:rFonts w:eastAsia="Times New Roman" w:cstheme="minorHAnsi"/>
          <w:bCs/>
        </w:rPr>
      </w:pPr>
    </w:p>
    <w:p w14:paraId="42811603" w14:textId="77777777" w:rsidR="0027335A" w:rsidRPr="00EB675D"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Management Services: Management services for investment funds that deal with virtual assets are also exempt from VAT. This includes services related to fund operations and performance monitoring.</w:t>
      </w:r>
    </w:p>
    <w:p w14:paraId="33E19530" w14:textId="77777777" w:rsidR="0027335A" w:rsidRPr="0027335A" w:rsidRDefault="0027335A" w:rsidP="00EB675D">
      <w:pPr>
        <w:spacing w:after="0" w:line="240" w:lineRule="auto"/>
        <w:ind w:left="1080"/>
        <w:jc w:val="both"/>
        <w:rPr>
          <w:rFonts w:eastAsia="Times New Roman" w:cstheme="minorHAnsi"/>
          <w:bCs/>
        </w:rPr>
      </w:pPr>
    </w:p>
    <w:p w14:paraId="6D364349"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The Exempt Entity complies with all other Rules in the VA Issuance Rulebook, including:</w:t>
      </w:r>
    </w:p>
    <w:p w14:paraId="58E1E259" w14:textId="77777777" w:rsidR="0027335A" w:rsidRPr="0027335A" w:rsidRDefault="0027335A" w:rsidP="00EB675D">
      <w:pPr>
        <w:spacing w:after="0" w:line="240" w:lineRule="auto"/>
        <w:ind w:left="360"/>
        <w:jc w:val="both"/>
        <w:rPr>
          <w:rFonts w:eastAsia="Times New Roman" w:cstheme="minorHAnsi"/>
          <w:bCs/>
        </w:rPr>
      </w:pPr>
    </w:p>
    <w:p w14:paraId="55C02B53"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 xml:space="preserve">General Rules that govern the conduct of all </w:t>
      </w:r>
      <w:proofErr w:type="gramStart"/>
      <w:r w:rsidRPr="0027335A">
        <w:rPr>
          <w:rFonts w:eastAsia="Times New Roman" w:cstheme="minorHAnsi"/>
          <w:bCs/>
        </w:rPr>
        <w:t>business</w:t>
      </w:r>
      <w:proofErr w:type="gramEnd"/>
      <w:r w:rsidRPr="0027335A">
        <w:rPr>
          <w:rFonts w:eastAsia="Times New Roman" w:cstheme="minorHAnsi"/>
          <w:bCs/>
        </w:rPr>
        <w:t xml:space="preserve"> from, or through the Emirates.</w:t>
      </w:r>
    </w:p>
    <w:p w14:paraId="4949EE06" w14:textId="77777777" w:rsidR="00EA1AAB" w:rsidRPr="0027335A" w:rsidRDefault="00EA1AAB" w:rsidP="00EA1AAB">
      <w:pPr>
        <w:spacing w:after="0" w:line="240" w:lineRule="auto"/>
        <w:ind w:left="1080"/>
        <w:jc w:val="both"/>
        <w:rPr>
          <w:rFonts w:eastAsia="Times New Roman" w:cstheme="minorHAnsi"/>
          <w:bCs/>
        </w:rPr>
      </w:pPr>
    </w:p>
    <w:p w14:paraId="484AE6E5"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Whitepapers and public disclosures, including detailed disclosure requirements and risk statements that issuers must provide in whitepapers.</w:t>
      </w:r>
    </w:p>
    <w:p w14:paraId="2E08B010" w14:textId="77777777" w:rsidR="00EA1AAB" w:rsidRPr="0027335A" w:rsidRDefault="00EA1AAB" w:rsidP="00EA1AAB">
      <w:pPr>
        <w:spacing w:after="0" w:line="240" w:lineRule="auto"/>
        <w:jc w:val="both"/>
        <w:rPr>
          <w:rFonts w:eastAsia="Times New Roman" w:cstheme="minorHAnsi"/>
          <w:bCs/>
        </w:rPr>
      </w:pPr>
    </w:p>
    <w:p w14:paraId="7C88AD90" w14:textId="77777777" w:rsidR="0027335A" w:rsidRPr="00EB675D"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Compliance obligations of issuers, including complying with the rules related to technology and security, anti-money laundering and combating the financing of terrorism, marketing regulations, personal data protection, tax reporting and compliance, and books and records.</w:t>
      </w:r>
    </w:p>
    <w:p w14:paraId="05552458" w14:textId="77777777" w:rsidR="0027335A" w:rsidRPr="0027335A" w:rsidRDefault="0027335A" w:rsidP="00EB675D">
      <w:pPr>
        <w:spacing w:after="0" w:line="240" w:lineRule="auto"/>
        <w:ind w:left="1080"/>
        <w:jc w:val="both"/>
        <w:rPr>
          <w:rFonts w:eastAsia="Times New Roman" w:cstheme="minorHAnsi"/>
          <w:bCs/>
        </w:rPr>
      </w:pPr>
    </w:p>
    <w:p w14:paraId="76956B93" w14:textId="22776D5E" w:rsidR="0028403B" w:rsidRPr="00EB675D" w:rsidRDefault="0027335A" w:rsidP="00EB675D">
      <w:pPr>
        <w:spacing w:after="0" w:line="240" w:lineRule="auto"/>
        <w:ind w:left="360"/>
        <w:jc w:val="both"/>
        <w:rPr>
          <w:rFonts w:eastAsia="Times New Roman" w:cstheme="minorHAnsi"/>
          <w:bCs/>
        </w:rPr>
      </w:pPr>
      <w:r w:rsidRPr="00EB675D">
        <w:rPr>
          <w:rFonts w:eastAsia="Times New Roman" w:cstheme="minorHAnsi"/>
          <w:bCs/>
        </w:rPr>
        <w:t>All transactions for which the Exempt Entity uses an intermediary are handled by Licensed Distributors only. Note that VARA shall have the sole and absolute discretion to decide whether an Entity is an Exempt Entity for the purposes of the Regulations and this VA Issuance Rulebook.</w:t>
      </w:r>
    </w:p>
    <w:p w14:paraId="41F8C9BA" w14:textId="77777777" w:rsidR="00D463AF" w:rsidRPr="00EB675D" w:rsidRDefault="00D463AF" w:rsidP="00EB675D">
      <w:pPr>
        <w:spacing w:after="0" w:line="240" w:lineRule="auto"/>
        <w:jc w:val="both"/>
        <w:rPr>
          <w:rFonts w:eastAsia="Times New Roman" w:cstheme="minorHAnsi"/>
          <w:b/>
          <w:bCs/>
          <w:u w:val="single"/>
          <w:lang w:val="en-SG"/>
        </w:rPr>
      </w:pPr>
    </w:p>
    <w:p w14:paraId="5C9C5FAC" w14:textId="72BA990D" w:rsidR="0074504D" w:rsidRPr="00EB675D" w:rsidRDefault="009E6883" w:rsidP="001E6213">
      <w:pPr>
        <w:pStyle w:val="Heading1"/>
      </w:pPr>
      <w:bookmarkStart w:id="12" w:name="_Toc194937381"/>
      <w:r w:rsidRPr="00EB675D">
        <w:t xml:space="preserve">Regulation of </w:t>
      </w:r>
      <w:r w:rsidR="005F5793" w:rsidRPr="00EB675D">
        <w:t>VASPs</w:t>
      </w:r>
      <w:r w:rsidRPr="00EB675D">
        <w:t xml:space="preserve"> </w:t>
      </w:r>
      <w:r w:rsidR="00DD2CD2" w:rsidRPr="00EB675D">
        <w:t xml:space="preserve">in </w:t>
      </w:r>
      <w:r w:rsidR="00314D4A" w:rsidRPr="00EB675D">
        <w:t>Dubai (UAE)</w:t>
      </w:r>
      <w:bookmarkEnd w:id="12"/>
    </w:p>
    <w:p w14:paraId="5F759DF6" w14:textId="77777777" w:rsidR="00F746E9" w:rsidRPr="00EB675D" w:rsidRDefault="00F746E9" w:rsidP="00EB675D">
      <w:pPr>
        <w:spacing w:after="0" w:line="240" w:lineRule="auto"/>
        <w:ind w:left="360"/>
        <w:jc w:val="both"/>
        <w:rPr>
          <w:rFonts w:eastAsia="Times New Roman" w:cstheme="minorHAnsi"/>
          <w:b/>
          <w:lang w:val="en-SG"/>
        </w:rPr>
      </w:pPr>
    </w:p>
    <w:p w14:paraId="3D0F0688" w14:textId="22190DDA" w:rsidR="009E6883" w:rsidRPr="00EB675D" w:rsidRDefault="009E6883" w:rsidP="001E6213">
      <w:pPr>
        <w:pStyle w:val="Heading2"/>
      </w:pPr>
      <w:bookmarkStart w:id="13" w:name="_Toc194937382"/>
      <w:r w:rsidRPr="00EB675D">
        <w:t xml:space="preserve">Are </w:t>
      </w:r>
      <w:r w:rsidR="005F5793" w:rsidRPr="00EB675D">
        <w:t>VASPs</w:t>
      </w:r>
      <w:r w:rsidRPr="00EB675D">
        <w:t xml:space="preserve"> operating </w:t>
      </w:r>
      <w:r w:rsidR="00DD2CD2" w:rsidRPr="00EB675D">
        <w:t xml:space="preserve">in </w:t>
      </w:r>
      <w:r w:rsidR="00314D4A" w:rsidRPr="00EB675D">
        <w:t>Dubai (UAE)</w:t>
      </w:r>
      <w:r w:rsidR="00F746E9" w:rsidRPr="00EB675D">
        <w:t xml:space="preserve"> </w:t>
      </w:r>
      <w:r w:rsidRPr="00EB675D">
        <w:t>subject to regulation?</w:t>
      </w:r>
      <w:bookmarkEnd w:id="13"/>
    </w:p>
    <w:p w14:paraId="3DBF7958" w14:textId="77777777" w:rsidR="0074504D" w:rsidRPr="00EB675D" w:rsidRDefault="0074504D" w:rsidP="00EB675D">
      <w:pPr>
        <w:spacing w:after="0" w:line="240" w:lineRule="auto"/>
        <w:ind w:left="360"/>
        <w:jc w:val="both"/>
        <w:rPr>
          <w:rFonts w:eastAsia="Times New Roman" w:cstheme="minorHAnsi"/>
          <w:b/>
          <w:bCs/>
          <w:lang w:val="en-SG"/>
        </w:rPr>
      </w:pPr>
    </w:p>
    <w:p w14:paraId="14D81580"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The Virtual Assets and Related Activities Regulations 2023 mentions </w:t>
      </w:r>
      <w:proofErr w:type="gramStart"/>
      <w:r w:rsidRPr="005F5793">
        <w:rPr>
          <w:rFonts w:eastAsia="Times New Roman" w:cstheme="minorHAnsi"/>
          <w:bCs/>
        </w:rPr>
        <w:t>the VASP</w:t>
      </w:r>
      <w:proofErr w:type="gramEnd"/>
      <w:r w:rsidRPr="005F5793">
        <w:rPr>
          <w:rFonts w:eastAsia="Times New Roman" w:cstheme="minorHAnsi"/>
          <w:bCs/>
        </w:rPr>
        <w:t xml:space="preserve"> as an entity that provides one or more virtual asset services to customers, including but not limited to, buying, selling, transferring, exchanging, safekeeping, and/or administering virtual assets. This broadly includes any person who carries out the business of providing virtual asset services in or from within Dubai, whether as a primary or ancillary activity, involving virtual assets like cryptocurrencies or other digital tokens. Examples of VASPs in Dubai may include cryptocurrency exchange platforms, virtual asset custodians, virtual asset wallet providers, virtual asset brokers, or organisations involved in initial coin offerings (</w:t>
      </w:r>
      <w:r w:rsidRPr="005F5793">
        <w:rPr>
          <w:rFonts w:eastAsia="Times New Roman" w:cstheme="minorHAnsi"/>
          <w:b/>
          <w:bCs/>
        </w:rPr>
        <w:t>ICOs</w:t>
      </w:r>
      <w:r w:rsidRPr="005F5793">
        <w:rPr>
          <w:rFonts w:eastAsia="Times New Roman" w:cstheme="minorHAnsi"/>
          <w:bCs/>
        </w:rPr>
        <w:t>) or other forms of virtual asset issuances.</w:t>
      </w:r>
    </w:p>
    <w:p w14:paraId="693314EA" w14:textId="77777777" w:rsidR="005F5793" w:rsidRPr="005F5793" w:rsidRDefault="005F5793" w:rsidP="00EB675D">
      <w:pPr>
        <w:spacing w:after="0" w:line="240" w:lineRule="auto"/>
        <w:ind w:left="360"/>
        <w:jc w:val="both"/>
        <w:rPr>
          <w:rFonts w:eastAsia="Times New Roman" w:cstheme="minorHAnsi"/>
          <w:bCs/>
        </w:rPr>
      </w:pPr>
    </w:p>
    <w:p w14:paraId="40BD9A21"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VASPs operating in Dubai are subject to regulation by VARA. The VARA was established and authorised by Law No. (4) of 2022 Regulating Virtual Assets in the Emirate of Dubai to regulate Virtual Assets and VASPs. VARA has the power to issue Rules, Directives and Guidance, and VASPs providing VA Activities in the Emirate will need to comply with applicable CBUAE federal regulations and/or guidance, including but not limited to as they pertain to specific Virtual Assets </w:t>
      </w:r>
      <w:proofErr w:type="gramStart"/>
      <w:r w:rsidRPr="005F5793">
        <w:rPr>
          <w:rFonts w:eastAsia="Times New Roman" w:cstheme="minorHAnsi"/>
          <w:bCs/>
        </w:rPr>
        <w:t>CBDCs</w:t>
      </w:r>
      <w:proofErr w:type="gramEnd"/>
      <w:r w:rsidRPr="005F5793">
        <w:rPr>
          <w:rFonts w:eastAsia="Times New Roman" w:cstheme="minorHAnsi"/>
          <w:bCs/>
        </w:rPr>
        <w:t xml:space="preserve"> and AED referenced fiat- referenced Virtual Assets.</w:t>
      </w:r>
    </w:p>
    <w:p w14:paraId="56046BEA" w14:textId="77777777" w:rsidR="005F5793" w:rsidRPr="005F5793" w:rsidRDefault="005F5793" w:rsidP="00EB675D">
      <w:pPr>
        <w:spacing w:after="0" w:line="240" w:lineRule="auto"/>
        <w:ind w:left="360"/>
        <w:jc w:val="both"/>
        <w:rPr>
          <w:rFonts w:eastAsia="Times New Roman" w:cstheme="minorHAnsi"/>
          <w:bCs/>
        </w:rPr>
      </w:pPr>
    </w:p>
    <w:p w14:paraId="6635684C" w14:textId="44CEBA88" w:rsidR="0028403B" w:rsidRPr="00EB675D" w:rsidRDefault="005F5793" w:rsidP="00EB675D">
      <w:pPr>
        <w:spacing w:after="0" w:line="240" w:lineRule="auto"/>
        <w:ind w:left="360"/>
        <w:jc w:val="both"/>
        <w:rPr>
          <w:rFonts w:eastAsia="Times New Roman" w:cstheme="minorHAnsi"/>
          <w:bCs/>
        </w:rPr>
      </w:pPr>
      <w:r w:rsidRPr="00EB675D">
        <w:rPr>
          <w:rFonts w:eastAsia="Times New Roman" w:cstheme="minorHAnsi"/>
          <w:bCs/>
        </w:rPr>
        <w:t>VASPs will also be subject to regulations, rules and directives for a period of ten (10) years following the date that it is no longer regulated by VARA.</w:t>
      </w:r>
    </w:p>
    <w:p w14:paraId="46AF6CBB" w14:textId="77777777" w:rsidR="00127D73" w:rsidRPr="00EB675D" w:rsidRDefault="00127D73" w:rsidP="00EB675D">
      <w:pPr>
        <w:spacing w:after="0" w:line="240" w:lineRule="auto"/>
        <w:ind w:left="360"/>
        <w:jc w:val="both"/>
        <w:rPr>
          <w:rFonts w:eastAsia="Times New Roman" w:cstheme="minorHAnsi"/>
          <w:b/>
          <w:lang w:val="en-SG"/>
        </w:rPr>
      </w:pPr>
    </w:p>
    <w:p w14:paraId="6DB364F5" w14:textId="310A4E6E" w:rsidR="009E6883" w:rsidRPr="00EB675D" w:rsidRDefault="009E6883" w:rsidP="001E6213">
      <w:pPr>
        <w:pStyle w:val="Heading2"/>
      </w:pPr>
      <w:bookmarkStart w:id="14" w:name="_Toc194937383"/>
      <w:r w:rsidRPr="00EB675D">
        <w:lastRenderedPageBreak/>
        <w:t xml:space="preserve">Are </w:t>
      </w:r>
      <w:r w:rsidR="005F5793" w:rsidRPr="00EB675D">
        <w:t>VASPs</w:t>
      </w:r>
      <w:r w:rsidRPr="00EB675D">
        <w:t xml:space="preserve"> providing virtual asset services from offshore to persons </w:t>
      </w:r>
      <w:r w:rsidR="00DD2CD2" w:rsidRPr="00EB675D">
        <w:t xml:space="preserve">in </w:t>
      </w:r>
      <w:r w:rsidR="00314D4A" w:rsidRPr="00EB675D">
        <w:t>Dubai (UAE)</w:t>
      </w:r>
      <w:r w:rsidR="00E04AA9" w:rsidRPr="00EB675D">
        <w:t xml:space="preserve"> </w:t>
      </w:r>
      <w:r w:rsidRPr="00EB675D">
        <w:t xml:space="preserve">subject to regulation </w:t>
      </w:r>
      <w:r w:rsidR="00DD2CD2" w:rsidRPr="00EB675D">
        <w:t xml:space="preserve">in </w:t>
      </w:r>
      <w:r w:rsidR="00314D4A" w:rsidRPr="00EB675D">
        <w:t>Dubai (UAE)</w:t>
      </w:r>
      <w:r w:rsidRPr="00EB675D">
        <w:t>?</w:t>
      </w:r>
      <w:bookmarkEnd w:id="14"/>
    </w:p>
    <w:p w14:paraId="41BFF171" w14:textId="77777777" w:rsidR="0074504D" w:rsidRPr="00EB675D" w:rsidRDefault="0074504D" w:rsidP="00EB675D">
      <w:pPr>
        <w:spacing w:after="0" w:line="240" w:lineRule="auto"/>
        <w:ind w:left="360"/>
        <w:jc w:val="both"/>
        <w:rPr>
          <w:rFonts w:eastAsia="Times New Roman" w:cstheme="minorHAnsi"/>
          <w:b/>
          <w:bCs/>
          <w:lang w:val="en-SG"/>
        </w:rPr>
      </w:pPr>
    </w:p>
    <w:p w14:paraId="41413268" w14:textId="77777777" w:rsidR="00C741CC" w:rsidRPr="00EB675D" w:rsidRDefault="00C741CC" w:rsidP="00EB675D">
      <w:pPr>
        <w:spacing w:after="0" w:line="240" w:lineRule="auto"/>
        <w:ind w:left="360"/>
        <w:jc w:val="both"/>
        <w:rPr>
          <w:rFonts w:eastAsia="Times New Roman" w:cstheme="minorHAnsi"/>
        </w:rPr>
      </w:pPr>
      <w:r w:rsidRPr="00C741CC">
        <w:rPr>
          <w:rFonts w:eastAsia="Times New Roman" w:cstheme="minorHAnsi"/>
        </w:rPr>
        <w:t>VASPs operating from offshore are subject to regulation under Dubai's Virtual Assets and Related Activities Regulations 2023 if they provide services to individuals in Dubai. Regardless of their location, all VASPs must obtain a license from the Dubai VARA before offering virtual asset services to customers in the Emirate. This mandatory licensing requirement applies uniformly to both domestic and offshore providers. Offshore VASPs must also adhere to the same regulatory standards as those based within the UAE, including compliance with AML/CFT regulations, as well as other relevant laws designed to protect consumers and uphold market integrity.</w:t>
      </w:r>
    </w:p>
    <w:p w14:paraId="19BAEF91" w14:textId="77777777" w:rsidR="00C741CC" w:rsidRPr="00C741CC" w:rsidRDefault="00C741CC" w:rsidP="00EB675D">
      <w:pPr>
        <w:spacing w:after="0" w:line="240" w:lineRule="auto"/>
        <w:ind w:left="360"/>
        <w:jc w:val="both"/>
        <w:rPr>
          <w:rFonts w:eastAsia="Times New Roman" w:cstheme="minorHAnsi"/>
        </w:rPr>
      </w:pPr>
    </w:p>
    <w:p w14:paraId="55B8D005" w14:textId="7D379B91" w:rsidR="0028403B" w:rsidRPr="00EB675D" w:rsidRDefault="00C741CC" w:rsidP="00EB675D">
      <w:pPr>
        <w:spacing w:after="0" w:line="240" w:lineRule="auto"/>
        <w:ind w:left="360"/>
        <w:jc w:val="both"/>
        <w:rPr>
          <w:rFonts w:eastAsia="Times New Roman" w:cstheme="minorHAnsi"/>
        </w:rPr>
      </w:pPr>
      <w:r w:rsidRPr="00EB675D">
        <w:rPr>
          <w:rFonts w:eastAsia="Times New Roman" w:cstheme="minorHAnsi"/>
        </w:rPr>
        <w:t>The scope of services covered by VARA's regulations is broad and includes advisory services, custody services, trading and exchange services, lending and borrowing, as well as management and investment services. VARA maintains strict oversight of all licensed VASPs, conducting regular inspections and audits to ensure full compliance with applicable regulations. Additionally, the issuance and use of anonymity-enhanced cryptocurrencies are prohibited in Dubai, further reinforcing VARA's commitment to transparency in financial transactions. Offshore VASPs seeking to operate in Dubai must navigate a structured licensing process, which involves submitting comprehensive documentation about their business operations, financial health, and compliance frameworks. Failure to comply with VARA's regulations can result in significant penalties, including fines ranging from AED 20,000 to AED 200,000, as well as enforcement actions against non-compliant entities.</w:t>
      </w:r>
    </w:p>
    <w:p w14:paraId="4E652E06" w14:textId="77777777" w:rsidR="00F9672A" w:rsidRPr="00EB675D" w:rsidRDefault="00F9672A" w:rsidP="00EB675D">
      <w:pPr>
        <w:spacing w:after="0" w:line="240" w:lineRule="auto"/>
        <w:ind w:left="360"/>
        <w:jc w:val="both"/>
        <w:rPr>
          <w:rFonts w:eastAsia="Times New Roman" w:cstheme="minorHAnsi"/>
          <w:b/>
          <w:lang w:val="en-SG"/>
        </w:rPr>
      </w:pPr>
    </w:p>
    <w:p w14:paraId="658B8AA8" w14:textId="4D8C4D44" w:rsidR="00775445" w:rsidRPr="00EB675D" w:rsidRDefault="009E6883" w:rsidP="001E6213">
      <w:pPr>
        <w:pStyle w:val="Heading2"/>
      </w:pPr>
      <w:bookmarkStart w:id="15" w:name="_Toc194937384"/>
      <w:r w:rsidRPr="00EB675D">
        <w:t xml:space="preserve">What are the main requirements for obtaining licensing / registration as a </w:t>
      </w:r>
      <w:r w:rsidR="005142DD">
        <w:t>V</w:t>
      </w:r>
      <w:r w:rsidR="00DB2AA9" w:rsidRPr="00EB675D">
        <w:t>ASP</w:t>
      </w:r>
      <w:r w:rsidRPr="00EB675D">
        <w:t xml:space="preserve"> </w:t>
      </w:r>
      <w:r w:rsidR="00DD2CD2" w:rsidRPr="00EB675D">
        <w:t xml:space="preserve">in </w:t>
      </w:r>
      <w:r w:rsidR="00314D4A" w:rsidRPr="00EB675D">
        <w:t>Dubai (UAE)</w:t>
      </w:r>
      <w:r w:rsidRPr="00EB675D">
        <w:t>?</w:t>
      </w:r>
      <w:bookmarkEnd w:id="15"/>
    </w:p>
    <w:p w14:paraId="3ECBD72A" w14:textId="77777777" w:rsidR="00775445" w:rsidRPr="00EB675D" w:rsidRDefault="00775445" w:rsidP="00EB675D">
      <w:pPr>
        <w:spacing w:after="0" w:line="240" w:lineRule="auto"/>
        <w:ind w:left="720"/>
        <w:jc w:val="both"/>
        <w:rPr>
          <w:rFonts w:eastAsia="Times New Roman" w:cstheme="minorHAnsi"/>
          <w:b/>
          <w:bCs/>
          <w:u w:val="single"/>
          <w:lang w:val="en-SG"/>
        </w:rPr>
      </w:pPr>
    </w:p>
    <w:p w14:paraId="2520DC8A"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 xml:space="preserve">To secure a license under </w:t>
      </w:r>
      <w:proofErr w:type="gramStart"/>
      <w:r w:rsidRPr="00B12CF6">
        <w:rPr>
          <w:rFonts w:eastAsia="Times New Roman" w:cstheme="minorHAnsi"/>
        </w:rPr>
        <w:t>the Virtual</w:t>
      </w:r>
      <w:proofErr w:type="gramEnd"/>
      <w:r w:rsidRPr="00B12CF6">
        <w:rPr>
          <w:rFonts w:eastAsia="Times New Roman" w:cstheme="minorHAnsi"/>
        </w:rPr>
        <w:t xml:space="preserve"> Assets Law, prospective applicants are mandated to establish Dubai as the hub for their operations. Additionally, they are required to obtain a commercial business license from the pertinent licensing authority in Dubai. The detailed procedures for obtaining this license and the accompanying ongoing obligations, such as those pertaining to anti-money laundering, disclosure, transparency, and know-your-client (</w:t>
      </w:r>
      <w:r w:rsidRPr="00B12CF6">
        <w:rPr>
          <w:rFonts w:eastAsia="Times New Roman" w:cstheme="minorHAnsi"/>
          <w:b/>
          <w:bCs/>
        </w:rPr>
        <w:t>KYC</w:t>
      </w:r>
      <w:r w:rsidRPr="00B12CF6">
        <w:rPr>
          <w:rFonts w:eastAsia="Times New Roman" w:cstheme="minorHAnsi"/>
        </w:rPr>
        <w:t>) processes, are explained in the regulations complementing the Virtual Assets Law.</w:t>
      </w:r>
    </w:p>
    <w:p w14:paraId="2745E824" w14:textId="77777777" w:rsidR="00B12CF6" w:rsidRPr="00B12CF6" w:rsidRDefault="00B12CF6" w:rsidP="00EB675D">
      <w:pPr>
        <w:spacing w:after="0" w:line="240" w:lineRule="auto"/>
        <w:ind w:left="360"/>
        <w:jc w:val="both"/>
        <w:rPr>
          <w:rFonts w:eastAsia="Times New Roman" w:cstheme="minorHAnsi"/>
        </w:rPr>
      </w:pPr>
    </w:p>
    <w:p w14:paraId="78B95FBD"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The licensing regulations of Dubai are a consolidation of provisions derived from three essential sources: Cabinet Decision No. 111/2022, Cabinet Decision No. 112/2022, and the Virtual Assets and Related Activities Regulations 2023.</w:t>
      </w:r>
    </w:p>
    <w:p w14:paraId="5DD73D09" w14:textId="77777777" w:rsidR="00B12CF6" w:rsidRPr="00B12CF6" w:rsidRDefault="00B12CF6" w:rsidP="00EB675D">
      <w:pPr>
        <w:spacing w:after="0" w:line="240" w:lineRule="auto"/>
        <w:ind w:left="360"/>
        <w:jc w:val="both"/>
        <w:rPr>
          <w:rFonts w:eastAsia="Times New Roman" w:cstheme="minorHAnsi"/>
        </w:rPr>
      </w:pPr>
    </w:p>
    <w:p w14:paraId="7A9ACC0B" w14:textId="50627AD5"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Mandatory licensing requirements:</w:t>
      </w:r>
      <w:r w:rsidRPr="00B12CF6">
        <w:rPr>
          <w:rFonts w:eastAsia="Times New Roman" w:cstheme="minorHAnsi"/>
        </w:rPr>
        <w:t xml:space="preserve"> Cabinet Decision No. 111/2022: Mandates that entities engaging in Virtual Asset Activities in Dubai must acquire approval and licenses from the </w:t>
      </w:r>
      <w:r w:rsidR="00530243" w:rsidRPr="00530243">
        <w:rPr>
          <w:rFonts w:eastAsia="Times New Roman" w:cstheme="minorHAnsi"/>
        </w:rPr>
        <w:t>VARA</w:t>
      </w:r>
      <w:r w:rsidRPr="00B12CF6">
        <w:rPr>
          <w:rFonts w:eastAsia="Times New Roman" w:cstheme="minorHAnsi"/>
        </w:rPr>
        <w:t>. No transactions are permitted without proper licensing, except for specific assets designated for payment. Businesses must be based in the UAE and legally formed.</w:t>
      </w:r>
    </w:p>
    <w:p w14:paraId="1F92C1E7" w14:textId="77777777" w:rsidR="00B12CF6" w:rsidRPr="00B12CF6" w:rsidRDefault="00B12CF6" w:rsidP="00EB675D">
      <w:pPr>
        <w:spacing w:after="0" w:line="240" w:lineRule="auto"/>
        <w:jc w:val="both"/>
        <w:rPr>
          <w:rFonts w:eastAsia="Times New Roman" w:cstheme="minorHAnsi"/>
        </w:rPr>
      </w:pPr>
    </w:p>
    <w:p w14:paraId="5C2570CA" w14:textId="77777777"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Compliance and licensing process:</w:t>
      </w:r>
      <w:r w:rsidRPr="00B12CF6">
        <w:rPr>
          <w:rFonts w:eastAsia="Times New Roman" w:cstheme="minorHAnsi"/>
        </w:rPr>
        <w:t xml:space="preserve"> Cabinet Decision No. 111/2022 and Virtual Assets and Related Activities Regulations 2023: Entities seeking licenses are obliged to follow the detailed process as prescribed by VARA. Compliance with regulations, adherence to directives, and meeting licensing conditions set by VARA is an integral part of the licensing process.</w:t>
      </w:r>
    </w:p>
    <w:p w14:paraId="2364E63A" w14:textId="77777777" w:rsidR="00B12CF6" w:rsidRPr="00B12CF6" w:rsidRDefault="00B12CF6" w:rsidP="00EB675D">
      <w:pPr>
        <w:spacing w:after="0" w:line="240" w:lineRule="auto"/>
        <w:jc w:val="both"/>
        <w:rPr>
          <w:rFonts w:eastAsia="Times New Roman" w:cstheme="minorHAnsi"/>
        </w:rPr>
      </w:pPr>
    </w:p>
    <w:p w14:paraId="70E107AC" w14:textId="77777777" w:rsidR="00B12CF6" w:rsidRPr="00EB675D"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Exemptions:</w:t>
      </w:r>
      <w:r w:rsidRPr="00B12CF6">
        <w:rPr>
          <w:rFonts w:eastAsia="Times New Roman" w:cstheme="minorHAnsi"/>
        </w:rPr>
        <w:t xml:space="preserve"> Virtual Assets and Related Activities Regulations 2023 allows exemptions from licensing regulations for the following:</w:t>
      </w:r>
    </w:p>
    <w:p w14:paraId="19BF6B4E" w14:textId="77777777" w:rsidR="00B12CF6" w:rsidRPr="00B12CF6" w:rsidRDefault="00B12CF6" w:rsidP="00EB675D">
      <w:pPr>
        <w:spacing w:after="0" w:line="240" w:lineRule="auto"/>
        <w:ind w:left="-360"/>
        <w:jc w:val="both"/>
        <w:rPr>
          <w:rFonts w:eastAsia="Times New Roman" w:cstheme="minorHAnsi"/>
        </w:rPr>
      </w:pPr>
    </w:p>
    <w:p w14:paraId="03F05211" w14:textId="77777777" w:rsidR="00B12CF6" w:rsidRPr="000D6B18" w:rsidRDefault="00B12CF6" w:rsidP="00EB675D">
      <w:pPr>
        <w:numPr>
          <w:ilvl w:val="0"/>
          <w:numId w:val="180"/>
        </w:numPr>
        <w:spacing w:after="0" w:line="240" w:lineRule="auto"/>
        <w:jc w:val="both"/>
        <w:rPr>
          <w:rFonts w:eastAsia="Times New Roman" w:cstheme="minorHAnsi"/>
          <w:b/>
          <w:bCs/>
        </w:rPr>
      </w:pPr>
      <w:r w:rsidRPr="00B12CF6">
        <w:rPr>
          <w:rFonts w:eastAsia="Times New Roman" w:cstheme="minorHAnsi"/>
        </w:rPr>
        <w:lastRenderedPageBreak/>
        <w:t xml:space="preserve">Lawyers, Accountants, and Business Consultants if their Virtual Assets Activities are incidental to their professional practice. </w:t>
      </w:r>
    </w:p>
    <w:p w14:paraId="34DCE40E" w14:textId="77777777" w:rsidR="000D6B18" w:rsidRPr="00B12CF6" w:rsidRDefault="000D6B18" w:rsidP="000D6B18">
      <w:pPr>
        <w:spacing w:after="0" w:line="240" w:lineRule="auto"/>
        <w:ind w:left="1440"/>
        <w:jc w:val="both"/>
        <w:rPr>
          <w:rFonts w:eastAsia="Times New Roman" w:cstheme="minorHAnsi"/>
          <w:b/>
          <w:bCs/>
        </w:rPr>
      </w:pPr>
    </w:p>
    <w:p w14:paraId="62E8DEF5" w14:textId="77777777" w:rsidR="0018501C" w:rsidRDefault="00B12CF6" w:rsidP="0018501C">
      <w:pPr>
        <w:numPr>
          <w:ilvl w:val="0"/>
          <w:numId w:val="180"/>
        </w:numPr>
        <w:spacing w:after="0" w:line="240" w:lineRule="auto"/>
        <w:jc w:val="both"/>
        <w:rPr>
          <w:rFonts w:eastAsia="Times New Roman" w:cstheme="minorHAnsi"/>
        </w:rPr>
      </w:pPr>
      <w:r w:rsidRPr="00B12CF6">
        <w:rPr>
          <w:rFonts w:eastAsia="Times New Roman" w:cstheme="minorHAnsi"/>
        </w:rPr>
        <w:t>Government entities in the UAE and their public, non-profit, not-for-profit, and charitable organisations are not required to obtain licenses.</w:t>
      </w:r>
    </w:p>
    <w:p w14:paraId="6383B183" w14:textId="108F7405" w:rsidR="00B12CF6" w:rsidRPr="0018501C" w:rsidRDefault="0018501C" w:rsidP="0018501C">
      <w:pPr>
        <w:spacing w:after="0" w:line="240" w:lineRule="auto"/>
        <w:ind w:left="1440"/>
        <w:jc w:val="both"/>
        <w:rPr>
          <w:rFonts w:eastAsia="Times New Roman" w:cstheme="minorHAnsi"/>
        </w:rPr>
      </w:pPr>
      <w:r>
        <w:rPr>
          <w:rFonts w:eastAsia="Times New Roman" w:cstheme="minorHAnsi"/>
        </w:rPr>
        <w:br/>
      </w:r>
      <w:r w:rsidR="00B12CF6" w:rsidRPr="0018501C">
        <w:rPr>
          <w:rFonts w:eastAsia="Times New Roman" w:cstheme="minorHAnsi"/>
        </w:rPr>
        <w:t>However, these exempt entities must obtain confirmation from VARA before engaging in any VA Activities.</w:t>
      </w:r>
    </w:p>
    <w:p w14:paraId="4E3DE50D" w14:textId="77777777" w:rsidR="00B12CF6" w:rsidRPr="00B12CF6" w:rsidRDefault="00B12CF6" w:rsidP="00EB675D">
      <w:pPr>
        <w:spacing w:after="0" w:line="240" w:lineRule="auto"/>
        <w:ind w:left="360"/>
        <w:jc w:val="both"/>
        <w:rPr>
          <w:rFonts w:eastAsia="Times New Roman" w:cstheme="minorHAnsi"/>
        </w:rPr>
      </w:pPr>
    </w:p>
    <w:p w14:paraId="3789043B"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Mandatory registration for large proprietary traders:</w:t>
      </w:r>
      <w:r w:rsidRPr="00B12CF6">
        <w:rPr>
          <w:rFonts w:eastAsia="Times New Roman" w:cstheme="minorHAnsi"/>
        </w:rPr>
        <w:t xml:space="preserve"> Virtual Assets and Related Activities Regulations 2023 requires entities investing over $250 million in Virtual Assets within a 30-day period to register with VARA before investing or within three working days from the date of the investment volume. This mandatory registration acts as a regulatory measure for substantial proprietary trading in Virtual Assets.</w:t>
      </w:r>
    </w:p>
    <w:p w14:paraId="1E74237A" w14:textId="77777777" w:rsidR="00B12CF6" w:rsidRPr="00B12CF6" w:rsidRDefault="00B12CF6" w:rsidP="00EB675D">
      <w:pPr>
        <w:spacing w:after="0" w:line="240" w:lineRule="auto"/>
        <w:ind w:left="360"/>
        <w:jc w:val="both"/>
        <w:rPr>
          <w:rFonts w:eastAsia="Times New Roman" w:cstheme="minorHAnsi"/>
        </w:rPr>
      </w:pPr>
    </w:p>
    <w:p w14:paraId="6881C334"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Voluntary registration for other market participants:</w:t>
      </w:r>
      <w:r w:rsidRPr="00B12CF6">
        <w:rPr>
          <w:rFonts w:eastAsia="Times New Roman" w:cstheme="minorHAnsi"/>
        </w:rPr>
        <w:t xml:space="preserve"> Virtual Assets and Related Activities Regulations 2023 offers voluntary registration for entities involved in specific business activities. This voluntary registration ensures transparency and compliance with VARA regulations.</w:t>
      </w:r>
    </w:p>
    <w:p w14:paraId="552A9175" w14:textId="77777777" w:rsidR="00B12CF6" w:rsidRPr="00B12CF6" w:rsidRDefault="00B12CF6" w:rsidP="00EB675D">
      <w:pPr>
        <w:spacing w:after="0" w:line="240" w:lineRule="auto"/>
        <w:ind w:left="360"/>
        <w:jc w:val="both"/>
        <w:rPr>
          <w:rFonts w:eastAsia="Times New Roman" w:cstheme="minorHAnsi"/>
        </w:rPr>
      </w:pPr>
    </w:p>
    <w:p w14:paraId="5D1B2119"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VARA's licensing powers:</w:t>
      </w:r>
      <w:r w:rsidRPr="00B12CF6">
        <w:rPr>
          <w:rFonts w:eastAsia="Times New Roman" w:cstheme="minorHAnsi"/>
        </w:rPr>
        <w:t xml:space="preserve"> Virtual Assets Service Providers must seek approval from VARA to engage in specific VA activities, with the license detailing the allowed actions and any associated limitations or time constraints. VARA has the authority to modify or revoke licenses, adjusting permitted activities or imposing restrictions based on various factors, including legal violations or financial instability. If a license is suspended, VARA communicates the duration to </w:t>
      </w:r>
      <w:proofErr w:type="gramStart"/>
      <w:r w:rsidRPr="00B12CF6">
        <w:rPr>
          <w:rFonts w:eastAsia="Times New Roman" w:cstheme="minorHAnsi"/>
        </w:rPr>
        <w:t>the VASP</w:t>
      </w:r>
      <w:proofErr w:type="gramEnd"/>
      <w:r w:rsidRPr="00B12CF6">
        <w:rPr>
          <w:rFonts w:eastAsia="Times New Roman" w:cstheme="minorHAnsi"/>
        </w:rPr>
        <w:t xml:space="preserve">, during which the VASP cannot resume VA activities. Additionally, VARA can set extra requirements for entities applying for licenses or modifications, especially if they fail to meet conditions or breach laws. </w:t>
      </w:r>
    </w:p>
    <w:p w14:paraId="74D1B5FD" w14:textId="77777777" w:rsidR="00B12CF6" w:rsidRPr="00B12CF6" w:rsidRDefault="00B12CF6" w:rsidP="00EB675D">
      <w:pPr>
        <w:spacing w:after="0" w:line="240" w:lineRule="auto"/>
        <w:ind w:left="360"/>
        <w:jc w:val="both"/>
        <w:rPr>
          <w:rFonts w:eastAsia="Times New Roman" w:cstheme="minorHAnsi"/>
        </w:rPr>
      </w:pPr>
    </w:p>
    <w:p w14:paraId="2C3F990E" w14:textId="77777777" w:rsidR="00B12CF6"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Licensing categories:</w:t>
      </w:r>
      <w:r w:rsidRPr="00B12CF6">
        <w:rPr>
          <w:rFonts w:eastAsia="Times New Roman" w:cstheme="minorHAnsi"/>
        </w:rPr>
        <w:t xml:space="preserve"> When applying for a VASP license, applicants must explicitly identify one or more virtual asset activities they intend to offer. These activities are categorised into seven options:</w:t>
      </w:r>
    </w:p>
    <w:p w14:paraId="0CDCB7A8" w14:textId="77777777" w:rsidR="00B12CF6" w:rsidRPr="00B12CF6" w:rsidRDefault="00B12CF6" w:rsidP="00EB675D">
      <w:pPr>
        <w:spacing w:after="0" w:line="240" w:lineRule="auto"/>
        <w:ind w:left="360"/>
        <w:jc w:val="both"/>
        <w:rPr>
          <w:rFonts w:eastAsia="Times New Roman" w:cstheme="minorHAnsi"/>
        </w:rPr>
      </w:pPr>
    </w:p>
    <w:p w14:paraId="1EDF8887"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Advisory Services, </w:t>
      </w:r>
    </w:p>
    <w:p w14:paraId="640EDBDD" w14:textId="77777777" w:rsidR="00CF043D" w:rsidRPr="00B12CF6" w:rsidRDefault="00CF043D" w:rsidP="00CF043D">
      <w:pPr>
        <w:spacing w:after="0" w:line="240" w:lineRule="auto"/>
        <w:ind w:left="1800"/>
        <w:jc w:val="both"/>
        <w:rPr>
          <w:rFonts w:eastAsia="Times New Roman" w:cstheme="minorHAnsi"/>
        </w:rPr>
      </w:pPr>
    </w:p>
    <w:p w14:paraId="00855FBD"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Broker-Dealer Services, </w:t>
      </w:r>
    </w:p>
    <w:p w14:paraId="3A078722" w14:textId="77777777" w:rsidR="00CF043D" w:rsidRPr="00B12CF6" w:rsidRDefault="00CF043D" w:rsidP="00CF043D">
      <w:pPr>
        <w:spacing w:after="0" w:line="240" w:lineRule="auto"/>
        <w:jc w:val="both"/>
        <w:rPr>
          <w:rFonts w:eastAsia="Times New Roman" w:cstheme="minorHAnsi"/>
        </w:rPr>
      </w:pPr>
    </w:p>
    <w:p w14:paraId="17B68E15"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Custody Services, </w:t>
      </w:r>
    </w:p>
    <w:p w14:paraId="03ED1226" w14:textId="77777777" w:rsidR="00CF043D" w:rsidRPr="00B12CF6" w:rsidRDefault="00CF043D" w:rsidP="00CF043D">
      <w:pPr>
        <w:spacing w:after="0" w:line="240" w:lineRule="auto"/>
        <w:jc w:val="both"/>
        <w:rPr>
          <w:rFonts w:eastAsia="Times New Roman" w:cstheme="minorHAnsi"/>
        </w:rPr>
      </w:pPr>
    </w:p>
    <w:p w14:paraId="51758CDA"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Exchange Services, </w:t>
      </w:r>
    </w:p>
    <w:p w14:paraId="30F43757" w14:textId="77777777" w:rsidR="00CF043D" w:rsidRPr="00B12CF6" w:rsidRDefault="00CF043D" w:rsidP="00CF043D">
      <w:pPr>
        <w:spacing w:after="0" w:line="240" w:lineRule="auto"/>
        <w:jc w:val="both"/>
        <w:rPr>
          <w:rFonts w:eastAsia="Times New Roman" w:cstheme="minorHAnsi"/>
        </w:rPr>
      </w:pPr>
    </w:p>
    <w:p w14:paraId="25A968A4"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Lending and Borrowing Services,</w:t>
      </w:r>
    </w:p>
    <w:p w14:paraId="21893805" w14:textId="77777777" w:rsidR="00CF043D" w:rsidRPr="00B12CF6" w:rsidRDefault="00CF043D" w:rsidP="00CF043D">
      <w:pPr>
        <w:spacing w:after="0" w:line="240" w:lineRule="auto"/>
        <w:jc w:val="both"/>
        <w:rPr>
          <w:rFonts w:eastAsia="Times New Roman" w:cstheme="minorHAnsi"/>
        </w:rPr>
      </w:pPr>
    </w:p>
    <w:p w14:paraId="6F202ADA" w14:textId="77777777" w:rsid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Management and Investment Services, and </w:t>
      </w:r>
    </w:p>
    <w:p w14:paraId="57413CEC" w14:textId="77777777" w:rsidR="00CF043D" w:rsidRPr="00B12CF6" w:rsidRDefault="00CF043D" w:rsidP="00CF043D">
      <w:pPr>
        <w:spacing w:after="0" w:line="240" w:lineRule="auto"/>
        <w:jc w:val="both"/>
        <w:rPr>
          <w:rFonts w:eastAsia="Times New Roman" w:cstheme="minorHAnsi"/>
        </w:rPr>
      </w:pPr>
    </w:p>
    <w:p w14:paraId="4018CDC7"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Transfer and Settlement Services.</w:t>
      </w:r>
    </w:p>
    <w:p w14:paraId="129B2A61" w14:textId="77777777" w:rsidR="00B12CF6" w:rsidRPr="00B12CF6" w:rsidRDefault="00B12CF6" w:rsidP="00EB675D">
      <w:pPr>
        <w:spacing w:after="0" w:line="240" w:lineRule="auto"/>
        <w:ind w:left="360"/>
        <w:jc w:val="both"/>
        <w:rPr>
          <w:rFonts w:eastAsia="Times New Roman" w:cstheme="minorHAnsi"/>
        </w:rPr>
      </w:pPr>
    </w:p>
    <w:p w14:paraId="65B591F8"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lastRenderedPageBreak/>
        <w:t>Obtaining VASP license:</w:t>
      </w:r>
      <w:r w:rsidRPr="00B12CF6">
        <w:rPr>
          <w:rFonts w:eastAsia="Times New Roman" w:cstheme="minorHAnsi"/>
        </w:rPr>
        <w:t xml:space="preserve"> Firms intending to provide virtual asset services in or from Dubai must obtain a VASP license from Dubai Economy and Tourism (</w:t>
      </w:r>
      <w:r w:rsidRPr="00B12CF6">
        <w:rPr>
          <w:rFonts w:eastAsia="Times New Roman" w:cstheme="minorHAnsi"/>
          <w:b/>
          <w:bCs/>
        </w:rPr>
        <w:t>DET</w:t>
      </w:r>
      <w:r w:rsidRPr="00B12CF6">
        <w:rPr>
          <w:rFonts w:eastAsia="Times New Roman" w:cstheme="minorHAnsi"/>
        </w:rPr>
        <w:t>) or any Dubai Free Zone Authority (</w:t>
      </w:r>
      <w:r w:rsidRPr="00B12CF6">
        <w:rPr>
          <w:rFonts w:eastAsia="Times New Roman" w:cstheme="minorHAnsi"/>
          <w:b/>
          <w:bCs/>
        </w:rPr>
        <w:t>FZA</w:t>
      </w:r>
      <w:r w:rsidRPr="00B12CF6">
        <w:rPr>
          <w:rFonts w:eastAsia="Times New Roman" w:cstheme="minorHAnsi"/>
        </w:rPr>
        <w:t>) in Dubai, excluding the DIFC. This license is mandatory and serves as a prerequisite for conducting virtual asset services in Dubai.</w:t>
      </w:r>
    </w:p>
    <w:p w14:paraId="01ADC2EB" w14:textId="77777777" w:rsidR="00B12CF6" w:rsidRPr="00B12CF6" w:rsidRDefault="00B12CF6" w:rsidP="00EB675D">
      <w:pPr>
        <w:spacing w:after="0" w:line="240" w:lineRule="auto"/>
        <w:ind w:left="360"/>
        <w:jc w:val="both"/>
        <w:rPr>
          <w:rFonts w:eastAsia="Times New Roman" w:cstheme="minorHAnsi"/>
        </w:rPr>
      </w:pPr>
    </w:p>
    <w:p w14:paraId="021B7376" w14:textId="77777777" w:rsidR="00B12CF6" w:rsidRPr="00B12CF6"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t>Validity and Renewal:</w:t>
      </w:r>
      <w:r w:rsidRPr="00B12CF6">
        <w:rPr>
          <w:rFonts w:eastAsia="Times New Roman" w:cstheme="minorHAnsi"/>
        </w:rPr>
        <w:t xml:space="preserve"> Once obtained, a VASP license is valid for a period of one year and must be renewed annually. The application and renewal process include the payment of an annual supervision fee to ensure ongoing compliance with regulatory standards.</w:t>
      </w:r>
    </w:p>
    <w:p w14:paraId="72293149" w14:textId="77777777" w:rsidR="00B12CF6" w:rsidRPr="00B12CF6" w:rsidRDefault="00B12CF6" w:rsidP="00EB675D">
      <w:pPr>
        <w:spacing w:after="0" w:line="240" w:lineRule="auto"/>
        <w:ind w:left="360"/>
        <w:jc w:val="both"/>
        <w:rPr>
          <w:rFonts w:eastAsia="Times New Roman" w:cstheme="minorHAnsi"/>
          <w:u w:val="single"/>
        </w:rPr>
      </w:pPr>
    </w:p>
    <w:p w14:paraId="3154AFEE" w14:textId="77777777" w:rsidR="00B12CF6" w:rsidRPr="00EB675D"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t>License Application Process:</w:t>
      </w:r>
    </w:p>
    <w:p w14:paraId="606027D4" w14:textId="77777777" w:rsidR="00B12CF6" w:rsidRPr="00B12CF6" w:rsidRDefault="00B12CF6" w:rsidP="00EB675D">
      <w:pPr>
        <w:spacing w:after="0" w:line="240" w:lineRule="auto"/>
        <w:ind w:left="360"/>
        <w:jc w:val="both"/>
        <w:rPr>
          <w:rFonts w:eastAsia="Times New Roman" w:cstheme="minorHAnsi"/>
          <w:u w:val="single"/>
        </w:rPr>
      </w:pPr>
    </w:p>
    <w:p w14:paraId="18EE1DBF" w14:textId="77777777" w:rsidR="00B12CF6" w:rsidRPr="00B12CF6" w:rsidRDefault="00B12CF6" w:rsidP="00EB675D">
      <w:pPr>
        <w:numPr>
          <w:ilvl w:val="0"/>
          <w:numId w:val="182"/>
        </w:numPr>
        <w:spacing w:after="0" w:line="240" w:lineRule="auto"/>
        <w:ind w:left="1800"/>
        <w:jc w:val="both"/>
        <w:rPr>
          <w:rFonts w:eastAsia="Times New Roman" w:cstheme="minorHAnsi"/>
          <w:u w:val="single"/>
        </w:rPr>
      </w:pPr>
      <w:r w:rsidRPr="00FB1ED2">
        <w:rPr>
          <w:rFonts w:eastAsia="Times New Roman" w:cstheme="minorHAnsi"/>
          <w:u w:val="single"/>
        </w:rPr>
        <w:t>For Existing VASPs</w:t>
      </w:r>
      <w:r w:rsidRPr="00B12CF6">
        <w:rPr>
          <w:rFonts w:eastAsia="Times New Roman" w:cstheme="minorHAnsi"/>
        </w:rPr>
        <w:t>: Existing VASPs in Dubai were initially required to submit their VASP license applications by the initial deadline of August 31, 2023. However, VARA extended this deadline to November 17, 2023. Failure by existing VASPs to submit their applications before this deadline may trigger regulatory enforcement consequences from VARA.</w:t>
      </w:r>
    </w:p>
    <w:p w14:paraId="01F7EB87" w14:textId="77777777" w:rsidR="00B12CF6" w:rsidRPr="00EB675D" w:rsidRDefault="00B12CF6" w:rsidP="00EB675D">
      <w:pPr>
        <w:numPr>
          <w:ilvl w:val="0"/>
          <w:numId w:val="182"/>
        </w:numPr>
        <w:spacing w:after="0" w:line="240" w:lineRule="auto"/>
        <w:ind w:left="1800"/>
        <w:jc w:val="both"/>
        <w:rPr>
          <w:rFonts w:eastAsia="Times New Roman" w:cstheme="minorHAnsi"/>
        </w:rPr>
      </w:pPr>
      <w:r w:rsidRPr="00FB1ED2">
        <w:rPr>
          <w:rFonts w:eastAsia="Times New Roman" w:cstheme="minorHAnsi"/>
          <w:u w:val="single"/>
        </w:rPr>
        <w:t>For New VASPs (Two-Stage Process)</w:t>
      </w:r>
      <w:r w:rsidRPr="00B12CF6">
        <w:rPr>
          <w:rFonts w:eastAsia="Times New Roman" w:cstheme="minorHAnsi"/>
        </w:rPr>
        <w:t>:</w:t>
      </w:r>
    </w:p>
    <w:p w14:paraId="7C00E95F" w14:textId="77777777" w:rsidR="00B12CF6" w:rsidRPr="00B12CF6" w:rsidRDefault="00B12CF6" w:rsidP="00EB675D">
      <w:pPr>
        <w:spacing w:after="0" w:line="240" w:lineRule="auto"/>
        <w:ind w:left="1800"/>
        <w:jc w:val="both"/>
        <w:rPr>
          <w:rFonts w:eastAsia="Times New Roman" w:cstheme="minorHAnsi"/>
        </w:rPr>
      </w:pPr>
    </w:p>
    <w:p w14:paraId="1F1343EE" w14:textId="77777777" w:rsidR="00B12CF6" w:rsidRPr="00EB675D"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1</w:t>
      </w:r>
      <w:r w:rsidRPr="00B12CF6">
        <w:rPr>
          <w:rFonts w:eastAsia="Times New Roman" w:cstheme="minorHAnsi"/>
        </w:rPr>
        <w:t>: Initial Approval In this stage, VASPs submit an Initial Disclosure Questionnaire (</w:t>
      </w:r>
      <w:r w:rsidRPr="00B12CF6">
        <w:rPr>
          <w:rFonts w:eastAsia="Times New Roman" w:cstheme="minorHAnsi"/>
          <w:b/>
          <w:bCs/>
        </w:rPr>
        <w:t>IDQ</w:t>
      </w:r>
      <w:r w:rsidRPr="00B12CF6">
        <w:rPr>
          <w:rFonts w:eastAsia="Times New Roman" w:cstheme="minorHAnsi"/>
        </w:rPr>
        <w:t xml:space="preserve">) to DET or a relevant FZA. They also provide additional documentation, including a business plan and details of beneficial owners and senior management. Furthermore, the payment of initial fees is required, leading to the receipt of Initial Approval to finalise legal incorporation and complete operational </w:t>
      </w:r>
      <w:proofErr w:type="gramStart"/>
      <w:r w:rsidRPr="00B12CF6">
        <w:rPr>
          <w:rFonts w:eastAsia="Times New Roman" w:cstheme="minorHAnsi"/>
        </w:rPr>
        <w:t>setup</w:t>
      </w:r>
      <w:proofErr w:type="gramEnd"/>
      <w:r w:rsidRPr="00B12CF6">
        <w:rPr>
          <w:rFonts w:eastAsia="Times New Roman" w:cstheme="minorHAnsi"/>
        </w:rPr>
        <w:t>.</w:t>
      </w:r>
    </w:p>
    <w:p w14:paraId="6AA7CC04" w14:textId="77777777" w:rsidR="00B12CF6" w:rsidRPr="00B12CF6" w:rsidRDefault="00B12CF6" w:rsidP="00EB675D">
      <w:pPr>
        <w:spacing w:after="0" w:line="240" w:lineRule="auto"/>
        <w:ind w:left="1800"/>
        <w:jc w:val="both"/>
        <w:rPr>
          <w:rFonts w:eastAsia="Times New Roman" w:cstheme="minorHAnsi"/>
        </w:rPr>
      </w:pPr>
    </w:p>
    <w:p w14:paraId="4121C98B" w14:textId="77777777" w:rsidR="00B12CF6" w:rsidRPr="00B12CF6"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2</w:t>
      </w:r>
      <w:r w:rsidRPr="00B12CF6">
        <w:rPr>
          <w:rFonts w:eastAsia="Times New Roman" w:cstheme="minorHAnsi"/>
        </w:rPr>
        <w:t>: VASP License Following the Initial Approval, VASPs proceed to Stage 2 by preparing and submitting documentation as per VARA's guidance. This stage involves receiving feedback directly from VARA, participating in potential meetings and interviews, paying the remaining portion of application fees, and first-year supervision fees. The result is the issuance of a VASP license, possibly subject to operational conditions.</w:t>
      </w:r>
    </w:p>
    <w:p w14:paraId="483DC04C" w14:textId="77777777" w:rsidR="00B12CF6" w:rsidRPr="00B12CF6" w:rsidRDefault="00B12CF6" w:rsidP="00EB675D">
      <w:pPr>
        <w:spacing w:after="0" w:line="240" w:lineRule="auto"/>
        <w:ind w:left="360"/>
        <w:jc w:val="both"/>
        <w:rPr>
          <w:rFonts w:eastAsia="Times New Roman" w:cstheme="minorHAnsi"/>
        </w:rPr>
      </w:pPr>
    </w:p>
    <w:p w14:paraId="2BF98011" w14:textId="77777777" w:rsidR="0030627B"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Post-License Obligations</w:t>
      </w:r>
      <w:r w:rsidRPr="00B12CF6">
        <w:rPr>
          <w:rFonts w:eastAsia="Times New Roman" w:cstheme="minorHAnsi"/>
        </w:rPr>
        <w:t>: Upon obtaining a VASP license, firms are obligated to continuously meet general licensing conditions and comply with all relevant Regulations, Rules, and Directives that may evolve over time. The specific corporate governance and legal structure requirements for VASPs are set out in the VARA Company Rulebook and depend on the business operations conducted.</w:t>
      </w:r>
      <w:r w:rsidRPr="00B12CF6">
        <w:rPr>
          <w:rFonts w:eastAsia="Times New Roman" w:cstheme="minorHAnsi"/>
          <w:vanish/>
        </w:rPr>
        <w:t>Top of Form</w:t>
      </w:r>
    </w:p>
    <w:p w14:paraId="6FBC80D3" w14:textId="77777777" w:rsidR="0030627B" w:rsidRPr="00EB675D" w:rsidRDefault="0030627B" w:rsidP="00EB675D">
      <w:pPr>
        <w:spacing w:after="0" w:line="240" w:lineRule="auto"/>
        <w:ind w:left="1440"/>
        <w:jc w:val="both"/>
        <w:rPr>
          <w:rFonts w:eastAsia="Times New Roman" w:cstheme="minorHAnsi"/>
        </w:rPr>
      </w:pPr>
    </w:p>
    <w:p w14:paraId="1C6C687C" w14:textId="1DB2CF04" w:rsidR="00B12CF6" w:rsidRPr="00B12CF6" w:rsidRDefault="00B12CF6" w:rsidP="00EB675D">
      <w:pPr>
        <w:spacing w:after="0" w:line="240" w:lineRule="auto"/>
        <w:jc w:val="center"/>
        <w:rPr>
          <w:rFonts w:eastAsia="Times New Roman" w:cstheme="minorHAnsi"/>
        </w:rPr>
      </w:pPr>
      <w:r w:rsidRPr="00B12CF6">
        <w:rPr>
          <w:rFonts w:eastAsia="Times New Roman" w:cstheme="minorHAnsi"/>
          <w:b/>
          <w:bCs/>
        </w:rPr>
        <w:t>Licensing Fees</w:t>
      </w:r>
    </w:p>
    <w:tbl>
      <w:tblPr>
        <w:tblStyle w:val="TableGrid"/>
        <w:tblpPr w:leftFromText="180" w:rightFromText="180" w:vertAnchor="text" w:horzAnchor="margin" w:tblpX="415" w:tblpY="282"/>
        <w:tblW w:w="9219" w:type="dxa"/>
        <w:tblLook w:val="04A0" w:firstRow="1" w:lastRow="0" w:firstColumn="1" w:lastColumn="0" w:noHBand="0" w:noVBand="1"/>
      </w:tblPr>
      <w:tblGrid>
        <w:gridCol w:w="1922"/>
        <w:gridCol w:w="2337"/>
        <w:gridCol w:w="2966"/>
        <w:gridCol w:w="1994"/>
      </w:tblGrid>
      <w:tr w:rsidR="00B12CF6" w:rsidRPr="00B12CF6" w14:paraId="2D7523EA" w14:textId="77777777" w:rsidTr="009C29E0">
        <w:tc>
          <w:tcPr>
            <w:tcW w:w="1922" w:type="dxa"/>
          </w:tcPr>
          <w:p w14:paraId="35BD5A70"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Regulated Activity</w:t>
            </w:r>
          </w:p>
        </w:tc>
        <w:tc>
          <w:tcPr>
            <w:tcW w:w="2337" w:type="dxa"/>
          </w:tcPr>
          <w:p w14:paraId="3C43465E"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License Application Fee (for one regulated activity only)</w:t>
            </w:r>
          </w:p>
        </w:tc>
        <w:tc>
          <w:tcPr>
            <w:tcW w:w="2966" w:type="dxa"/>
            <w:vAlign w:val="bottom"/>
          </w:tcPr>
          <w:p w14:paraId="7BEF4927"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License Extension Fee (for each additional regulated activity)</w:t>
            </w:r>
          </w:p>
        </w:tc>
        <w:tc>
          <w:tcPr>
            <w:tcW w:w="1994" w:type="dxa"/>
          </w:tcPr>
          <w:p w14:paraId="25D66889"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Annual Supervision Fee (for each regulated activity)</w:t>
            </w:r>
          </w:p>
        </w:tc>
      </w:tr>
      <w:tr w:rsidR="00B12CF6" w:rsidRPr="00B12CF6" w14:paraId="6BBFFD2A" w14:textId="77777777" w:rsidTr="009C29E0">
        <w:trPr>
          <w:trHeight w:val="1403"/>
        </w:trPr>
        <w:tc>
          <w:tcPr>
            <w:tcW w:w="1922" w:type="dxa"/>
          </w:tcPr>
          <w:p w14:paraId="6680A5D5" w14:textId="77777777" w:rsidR="00B12CF6" w:rsidRPr="00B12CF6" w:rsidRDefault="00B12CF6" w:rsidP="00EB675D">
            <w:pPr>
              <w:spacing w:line="240" w:lineRule="auto"/>
              <w:rPr>
                <w:rFonts w:eastAsia="Times New Roman" w:cstheme="minorHAnsi"/>
              </w:rPr>
            </w:pPr>
            <w:r w:rsidRPr="00B12CF6">
              <w:rPr>
                <w:rFonts w:eastAsia="Times New Roman" w:cstheme="minorHAnsi"/>
              </w:rPr>
              <w:t>Advisory Services</w:t>
            </w:r>
          </w:p>
        </w:tc>
        <w:tc>
          <w:tcPr>
            <w:tcW w:w="2337" w:type="dxa"/>
          </w:tcPr>
          <w:p w14:paraId="55BADCD0"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06030756"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0852CE46"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6E510C7E" w14:textId="77777777" w:rsidTr="009C29E0">
        <w:tc>
          <w:tcPr>
            <w:tcW w:w="1922" w:type="dxa"/>
          </w:tcPr>
          <w:p w14:paraId="5AC9E3C5" w14:textId="77777777" w:rsidR="00B12CF6" w:rsidRPr="00B12CF6" w:rsidRDefault="00B12CF6" w:rsidP="00EB675D">
            <w:pPr>
              <w:spacing w:line="240" w:lineRule="auto"/>
              <w:rPr>
                <w:rFonts w:eastAsia="Times New Roman" w:cstheme="minorHAnsi"/>
              </w:rPr>
            </w:pPr>
            <w:r w:rsidRPr="00B12CF6">
              <w:rPr>
                <w:rFonts w:eastAsia="Times New Roman" w:cstheme="minorHAnsi"/>
              </w:rPr>
              <w:lastRenderedPageBreak/>
              <w:t>Broker-Dealer Services</w:t>
            </w:r>
          </w:p>
        </w:tc>
        <w:tc>
          <w:tcPr>
            <w:tcW w:w="2337" w:type="dxa"/>
          </w:tcPr>
          <w:p w14:paraId="70DC868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1F3352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4E31FA0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4DCF78E" w14:textId="77777777" w:rsidTr="009C29E0">
        <w:tc>
          <w:tcPr>
            <w:tcW w:w="1922" w:type="dxa"/>
          </w:tcPr>
          <w:p w14:paraId="1A315C3B" w14:textId="77777777" w:rsidR="00B12CF6" w:rsidRPr="00B12CF6" w:rsidRDefault="00B12CF6" w:rsidP="00EB675D">
            <w:pPr>
              <w:spacing w:line="240" w:lineRule="auto"/>
              <w:rPr>
                <w:rFonts w:eastAsia="Times New Roman" w:cstheme="minorHAnsi"/>
              </w:rPr>
            </w:pPr>
            <w:r w:rsidRPr="00B12CF6">
              <w:rPr>
                <w:rFonts w:eastAsia="Times New Roman" w:cstheme="minorHAnsi"/>
              </w:rPr>
              <w:t>Custody Services</w:t>
            </w:r>
          </w:p>
        </w:tc>
        <w:tc>
          <w:tcPr>
            <w:tcW w:w="2337" w:type="dxa"/>
          </w:tcPr>
          <w:p w14:paraId="6AA415B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03C4491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35F94D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018F0383" w14:textId="77777777" w:rsidTr="009C29E0">
        <w:tc>
          <w:tcPr>
            <w:tcW w:w="1922" w:type="dxa"/>
          </w:tcPr>
          <w:p w14:paraId="39036817" w14:textId="77777777" w:rsidR="00B12CF6" w:rsidRPr="00B12CF6" w:rsidRDefault="00B12CF6" w:rsidP="00EB675D">
            <w:pPr>
              <w:spacing w:line="240" w:lineRule="auto"/>
              <w:rPr>
                <w:rFonts w:eastAsia="Times New Roman" w:cstheme="minorHAnsi"/>
              </w:rPr>
            </w:pPr>
            <w:r w:rsidRPr="00B12CF6">
              <w:rPr>
                <w:rFonts w:eastAsia="Times New Roman" w:cstheme="minorHAnsi"/>
              </w:rPr>
              <w:t>Exchange Services</w:t>
            </w:r>
          </w:p>
        </w:tc>
        <w:tc>
          <w:tcPr>
            <w:tcW w:w="2337" w:type="dxa"/>
          </w:tcPr>
          <w:p w14:paraId="342C49AA"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283CFAC"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34677F6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46A23D94" w14:textId="77777777" w:rsidTr="009C29E0">
        <w:tc>
          <w:tcPr>
            <w:tcW w:w="1922" w:type="dxa"/>
          </w:tcPr>
          <w:p w14:paraId="4399ECF0" w14:textId="77777777" w:rsidR="00B12CF6" w:rsidRPr="00B12CF6" w:rsidRDefault="00B12CF6" w:rsidP="00EB675D">
            <w:pPr>
              <w:spacing w:line="240" w:lineRule="auto"/>
              <w:rPr>
                <w:rFonts w:eastAsia="Times New Roman" w:cstheme="minorHAnsi"/>
              </w:rPr>
            </w:pPr>
            <w:r w:rsidRPr="00B12CF6">
              <w:rPr>
                <w:rFonts w:eastAsia="Times New Roman" w:cstheme="minorHAnsi"/>
              </w:rPr>
              <w:t>Lending and Borrowing Services</w:t>
            </w:r>
          </w:p>
        </w:tc>
        <w:tc>
          <w:tcPr>
            <w:tcW w:w="2337" w:type="dxa"/>
          </w:tcPr>
          <w:p w14:paraId="644DB44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53CB0BDB"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CD230A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06878B3" w14:textId="77777777" w:rsidTr="009C29E0">
        <w:tc>
          <w:tcPr>
            <w:tcW w:w="1922" w:type="dxa"/>
          </w:tcPr>
          <w:p w14:paraId="1E912A56" w14:textId="77777777" w:rsidR="00B12CF6" w:rsidRPr="00B12CF6" w:rsidRDefault="00B12CF6" w:rsidP="00EB675D">
            <w:pPr>
              <w:spacing w:line="240" w:lineRule="auto"/>
              <w:rPr>
                <w:rFonts w:eastAsia="Times New Roman" w:cstheme="minorHAnsi"/>
              </w:rPr>
            </w:pPr>
            <w:r w:rsidRPr="00B12CF6">
              <w:rPr>
                <w:rFonts w:eastAsia="Times New Roman" w:cstheme="minorHAnsi"/>
              </w:rPr>
              <w:t>Payments and Remittances Services</w:t>
            </w:r>
          </w:p>
        </w:tc>
        <w:tc>
          <w:tcPr>
            <w:tcW w:w="2337" w:type="dxa"/>
          </w:tcPr>
          <w:p w14:paraId="72F9DBB8"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10BF245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64E2EDC"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3CF50992" w14:textId="77777777" w:rsidTr="009C29E0">
        <w:tc>
          <w:tcPr>
            <w:tcW w:w="1922" w:type="dxa"/>
          </w:tcPr>
          <w:p w14:paraId="41E180BB" w14:textId="77777777" w:rsidR="00B12CF6" w:rsidRPr="00B12CF6" w:rsidRDefault="00B12CF6" w:rsidP="00EB675D">
            <w:pPr>
              <w:spacing w:line="240" w:lineRule="auto"/>
              <w:rPr>
                <w:rFonts w:eastAsia="Times New Roman" w:cstheme="minorHAnsi"/>
              </w:rPr>
            </w:pPr>
            <w:r w:rsidRPr="00B12CF6">
              <w:rPr>
                <w:rFonts w:eastAsia="Times New Roman" w:cstheme="minorHAnsi"/>
              </w:rPr>
              <w:t>VA Management and Investment Services</w:t>
            </w:r>
          </w:p>
        </w:tc>
        <w:tc>
          <w:tcPr>
            <w:tcW w:w="2337" w:type="dxa"/>
          </w:tcPr>
          <w:p w14:paraId="704453A1"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7AA7CBE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556C75E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bl>
    <w:p w14:paraId="06B72BBC" w14:textId="0042FE12" w:rsidR="00D3084E" w:rsidRPr="00EB675D" w:rsidRDefault="00D3084E" w:rsidP="00CC5105">
      <w:pPr>
        <w:spacing w:after="0" w:line="240" w:lineRule="auto"/>
        <w:ind w:left="360"/>
        <w:jc w:val="both"/>
        <w:rPr>
          <w:rFonts w:eastAsia="Times New Roman" w:cstheme="minorHAnsi"/>
        </w:rPr>
      </w:pPr>
    </w:p>
    <w:p w14:paraId="1A40231A" w14:textId="31C25156"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Following the submission of the application, the licensing process typically takes between 4 to 6 months to acquire the license.</w:t>
      </w:r>
    </w:p>
    <w:p w14:paraId="108FE731" w14:textId="77777777" w:rsidR="007F39A7" w:rsidRPr="00B12CF6" w:rsidRDefault="007F39A7" w:rsidP="007F39A7">
      <w:pPr>
        <w:spacing w:after="0" w:line="240" w:lineRule="auto"/>
        <w:ind w:left="1440"/>
        <w:jc w:val="both"/>
        <w:rPr>
          <w:rFonts w:eastAsia="Times New Roman" w:cstheme="minorHAnsi"/>
        </w:rPr>
      </w:pPr>
    </w:p>
    <w:p w14:paraId="298F59AA" w14:textId="77777777"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VASPs that wish to change their VARA license details will be charged an AED 500 fee for each modification request.</w:t>
      </w:r>
    </w:p>
    <w:p w14:paraId="03E783B1" w14:textId="77777777" w:rsidR="007F39A7" w:rsidRPr="00B12CF6" w:rsidRDefault="007F39A7" w:rsidP="007F39A7">
      <w:pPr>
        <w:spacing w:after="0" w:line="240" w:lineRule="auto"/>
        <w:jc w:val="both"/>
        <w:rPr>
          <w:rFonts w:eastAsia="Times New Roman" w:cstheme="minorHAnsi"/>
        </w:rPr>
      </w:pPr>
    </w:p>
    <w:p w14:paraId="7B6F9197" w14:textId="77777777" w:rsidR="00B12CF6" w:rsidRPr="00EB675D"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 xml:space="preserve">VASPs intending to cease operations in Dubai and </w:t>
      </w:r>
      <w:proofErr w:type="gramStart"/>
      <w:r w:rsidRPr="00B12CF6">
        <w:rPr>
          <w:rFonts w:eastAsia="Times New Roman" w:cstheme="minorHAnsi"/>
        </w:rPr>
        <w:t>close down</w:t>
      </w:r>
      <w:proofErr w:type="gramEnd"/>
      <w:r w:rsidRPr="00B12CF6">
        <w:rPr>
          <w:rFonts w:eastAsia="Times New Roman" w:cstheme="minorHAnsi"/>
        </w:rPr>
        <w:t xml:space="preserve"> their virtual asset activities will face a withdrawal fee of AED 10,000.</w:t>
      </w:r>
      <w:r w:rsidRPr="00B12CF6">
        <w:rPr>
          <w:rFonts w:eastAsia="Times New Roman" w:cstheme="minorHAnsi"/>
          <w:vanish/>
        </w:rPr>
        <w:t>Top of Form</w:t>
      </w:r>
    </w:p>
    <w:p w14:paraId="43E83B2E" w14:textId="77777777" w:rsidR="0030627B" w:rsidRPr="00EB675D" w:rsidRDefault="0030627B" w:rsidP="00EB675D">
      <w:pPr>
        <w:spacing w:after="0" w:line="240" w:lineRule="auto"/>
        <w:jc w:val="both"/>
        <w:rPr>
          <w:rFonts w:eastAsia="Times New Roman" w:cstheme="minorHAnsi"/>
        </w:rPr>
      </w:pPr>
    </w:p>
    <w:p w14:paraId="02314EF6" w14:textId="05DE802F" w:rsidR="00B12CF6" w:rsidRPr="00EB675D" w:rsidRDefault="00B12CF6" w:rsidP="00EB675D">
      <w:pPr>
        <w:spacing w:after="0" w:line="240" w:lineRule="auto"/>
        <w:jc w:val="center"/>
        <w:rPr>
          <w:rFonts w:eastAsia="Times New Roman" w:cstheme="minorHAnsi"/>
          <w:b/>
          <w:bCs/>
        </w:rPr>
      </w:pPr>
      <w:r w:rsidRPr="00B12CF6">
        <w:rPr>
          <w:rFonts w:eastAsia="Times New Roman" w:cstheme="minorHAnsi"/>
          <w:b/>
          <w:bCs/>
        </w:rPr>
        <w:t>Regulatory Requirements</w:t>
      </w:r>
    </w:p>
    <w:p w14:paraId="1E6E31F6" w14:textId="77777777" w:rsidR="00D3084E" w:rsidRPr="00B12CF6" w:rsidRDefault="00D3084E" w:rsidP="00EB675D">
      <w:pPr>
        <w:spacing w:after="0" w:line="240" w:lineRule="auto"/>
        <w:ind w:left="360"/>
        <w:jc w:val="both"/>
        <w:rPr>
          <w:rFonts w:eastAsia="Times New Roman" w:cstheme="minorHAnsi"/>
          <w:b/>
          <w:bCs/>
        </w:rPr>
      </w:pPr>
    </w:p>
    <w:tbl>
      <w:tblPr>
        <w:tblStyle w:val="TableGrid"/>
        <w:tblW w:w="9323" w:type="dxa"/>
        <w:tblInd w:w="279" w:type="dxa"/>
        <w:tblLook w:val="04A0" w:firstRow="1" w:lastRow="0" w:firstColumn="1" w:lastColumn="0" w:noHBand="0" w:noVBand="1"/>
      </w:tblPr>
      <w:tblGrid>
        <w:gridCol w:w="2410"/>
        <w:gridCol w:w="6913"/>
      </w:tblGrid>
      <w:tr w:rsidR="00B12CF6" w:rsidRPr="00B12CF6" w14:paraId="0656BD39" w14:textId="77777777" w:rsidTr="002D3F80">
        <w:tc>
          <w:tcPr>
            <w:tcW w:w="2410" w:type="dxa"/>
          </w:tcPr>
          <w:p w14:paraId="38AEE5A5"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Aspect</w:t>
            </w:r>
          </w:p>
        </w:tc>
        <w:tc>
          <w:tcPr>
            <w:tcW w:w="6913" w:type="dxa"/>
          </w:tcPr>
          <w:p w14:paraId="28ACC037"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Requirements</w:t>
            </w:r>
          </w:p>
        </w:tc>
      </w:tr>
      <w:tr w:rsidR="00B12CF6" w:rsidRPr="00B12CF6" w14:paraId="1FECE3EF" w14:textId="77777777" w:rsidTr="002D3F80">
        <w:tc>
          <w:tcPr>
            <w:tcW w:w="2410" w:type="dxa"/>
          </w:tcPr>
          <w:p w14:paraId="2163339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Corporate Governance for VASP License Application</w:t>
            </w:r>
          </w:p>
        </w:tc>
        <w:tc>
          <w:tcPr>
            <w:tcW w:w="6913" w:type="dxa"/>
          </w:tcPr>
          <w:p w14:paraId="2C09D65D" w14:textId="271CA563" w:rsidR="008B6FCB" w:rsidRPr="008B6FCB" w:rsidRDefault="00B12CF6" w:rsidP="008B6FCB">
            <w:pPr>
              <w:numPr>
                <w:ilvl w:val="0"/>
                <w:numId w:val="176"/>
              </w:numPr>
              <w:spacing w:line="240" w:lineRule="auto"/>
              <w:rPr>
                <w:rFonts w:eastAsia="Times New Roman" w:cstheme="minorHAnsi"/>
              </w:rPr>
            </w:pPr>
            <w:r w:rsidRPr="00B12CF6">
              <w:rPr>
                <w:rFonts w:eastAsia="Times New Roman" w:cstheme="minorHAnsi"/>
              </w:rPr>
              <w:t xml:space="preserve">Board of Directors: Minimum of two members, with at least two residing in the UAE. </w:t>
            </w:r>
          </w:p>
          <w:p w14:paraId="6CC08A10" w14:textId="665265C4" w:rsidR="008B6FCB" w:rsidRPr="008B6FCB" w:rsidRDefault="00B12CF6" w:rsidP="008B6FCB">
            <w:pPr>
              <w:numPr>
                <w:ilvl w:val="0"/>
                <w:numId w:val="176"/>
              </w:numPr>
              <w:spacing w:line="240" w:lineRule="auto"/>
              <w:rPr>
                <w:rFonts w:eastAsia="Times New Roman" w:cstheme="minorHAnsi"/>
              </w:rPr>
            </w:pPr>
            <w:r w:rsidRPr="00B12CF6">
              <w:rPr>
                <w:rFonts w:eastAsia="Times New Roman" w:cstheme="minorHAnsi"/>
              </w:rPr>
              <w:t xml:space="preserve">Responsible Officers: At least two overseeing compliances. </w:t>
            </w:r>
          </w:p>
          <w:p w14:paraId="22F80E58" w14:textId="1D38365F" w:rsidR="008B6FCB" w:rsidRPr="008B6FCB" w:rsidRDefault="00B12CF6" w:rsidP="008B6FCB">
            <w:pPr>
              <w:numPr>
                <w:ilvl w:val="0"/>
                <w:numId w:val="176"/>
              </w:numPr>
              <w:spacing w:line="240" w:lineRule="auto"/>
              <w:rPr>
                <w:rFonts w:eastAsia="Times New Roman" w:cstheme="minorHAnsi"/>
              </w:rPr>
            </w:pPr>
            <w:r w:rsidRPr="00B12CF6">
              <w:rPr>
                <w:rFonts w:eastAsia="Times New Roman" w:cstheme="minorHAnsi"/>
              </w:rPr>
              <w:t xml:space="preserve">Compliance Officer/MLRO: Can be a foreign national. </w:t>
            </w:r>
          </w:p>
          <w:p w14:paraId="23FC44EC" w14:textId="77777777" w:rsidR="00B12CF6" w:rsidRPr="00B12CF6" w:rsidRDefault="00B12CF6" w:rsidP="00EB675D">
            <w:pPr>
              <w:numPr>
                <w:ilvl w:val="0"/>
                <w:numId w:val="176"/>
              </w:numPr>
              <w:spacing w:line="240" w:lineRule="auto"/>
              <w:rPr>
                <w:rFonts w:eastAsia="Times New Roman" w:cstheme="minorHAnsi"/>
                <w:b/>
                <w:bCs/>
              </w:rPr>
            </w:pPr>
            <w:r w:rsidRPr="00B12CF6">
              <w:rPr>
                <w:rFonts w:eastAsia="Times New Roman" w:cstheme="minorHAnsi"/>
              </w:rPr>
              <w:t>Company Secretary: Required for company incorporation.</w:t>
            </w:r>
          </w:p>
        </w:tc>
      </w:tr>
      <w:tr w:rsidR="00B12CF6" w:rsidRPr="00B12CF6" w14:paraId="49EA6225" w14:textId="77777777" w:rsidTr="002D3F80">
        <w:tc>
          <w:tcPr>
            <w:tcW w:w="2410" w:type="dxa"/>
          </w:tcPr>
          <w:p w14:paraId="0263D97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Capital Requirements and Asset Maintenance</w:t>
            </w:r>
          </w:p>
        </w:tc>
        <w:tc>
          <w:tcPr>
            <w:tcW w:w="6913" w:type="dxa"/>
          </w:tcPr>
          <w:p w14:paraId="4B99B8CA"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Specific capital requirements based on activities and overhead costs (AED 100,000 to AED 1,500,000). </w:t>
            </w:r>
          </w:p>
          <w:p w14:paraId="6352F713" w14:textId="777983DB"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Maintain liquid assets surpassing 1.2 times monthly expenses.</w:t>
            </w:r>
          </w:p>
          <w:p w14:paraId="00DD6EA5"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Hold reserve assets equal to 100</w:t>
            </w:r>
            <w:proofErr w:type="gramStart"/>
            <w:r w:rsidRPr="00B12CF6">
              <w:rPr>
                <w:rFonts w:eastAsia="Times New Roman" w:cstheme="minorHAnsi"/>
              </w:rPr>
              <w:t>% of</w:t>
            </w:r>
            <w:proofErr w:type="gramEnd"/>
            <w:r w:rsidRPr="00B12CF6">
              <w:rPr>
                <w:rFonts w:eastAsia="Times New Roman" w:cstheme="minorHAnsi"/>
              </w:rPr>
              <w:t xml:space="preserve"> client liabilities, in the same virtual asset.</w:t>
            </w:r>
          </w:p>
        </w:tc>
      </w:tr>
      <w:tr w:rsidR="00B12CF6" w:rsidRPr="00B12CF6" w14:paraId="53E810AD" w14:textId="77777777" w:rsidTr="002D3F80">
        <w:tc>
          <w:tcPr>
            <w:tcW w:w="2410" w:type="dxa"/>
          </w:tcPr>
          <w:p w14:paraId="5B6A9E35"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AML/CFT Compliance</w:t>
            </w:r>
          </w:p>
        </w:tc>
        <w:tc>
          <w:tcPr>
            <w:tcW w:w="6913" w:type="dxa"/>
          </w:tcPr>
          <w:p w14:paraId="24443D75"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VARA oversees AML/CFT regulations for all VASPs and Virtual Asset Activities in Dubai. </w:t>
            </w:r>
          </w:p>
          <w:p w14:paraId="68F6820D"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Ensures compliance with federal AML/CFT laws in the Emirate.</w:t>
            </w:r>
          </w:p>
        </w:tc>
      </w:tr>
      <w:tr w:rsidR="00B12CF6" w:rsidRPr="00B12CF6" w14:paraId="14372D14" w14:textId="77777777" w:rsidTr="002D3F80">
        <w:tc>
          <w:tcPr>
            <w:tcW w:w="2410" w:type="dxa"/>
          </w:tcPr>
          <w:p w14:paraId="606BDB2D"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Marketing Regulations</w:t>
            </w:r>
          </w:p>
        </w:tc>
        <w:tc>
          <w:tcPr>
            <w:tcW w:w="6913" w:type="dxa"/>
          </w:tcPr>
          <w:p w14:paraId="24C427CA" w14:textId="77777777" w:rsidR="00B12CF6" w:rsidRPr="00B12CF6" w:rsidRDefault="00B12CF6" w:rsidP="00EB675D">
            <w:pPr>
              <w:numPr>
                <w:ilvl w:val="0"/>
                <w:numId w:val="178"/>
              </w:numPr>
              <w:spacing w:line="240" w:lineRule="auto"/>
              <w:rPr>
                <w:rFonts w:eastAsia="Times New Roman" w:cstheme="minorHAnsi"/>
                <w:b/>
                <w:bCs/>
              </w:rPr>
            </w:pPr>
            <w:r w:rsidRPr="00B12CF6">
              <w:rPr>
                <w:rFonts w:eastAsia="Times New Roman" w:cstheme="minorHAnsi"/>
              </w:rPr>
              <w:t>All market participants must comply with regulations for marketing, advertising, and promotional activities, irrespective of holding a VARA license.</w:t>
            </w:r>
          </w:p>
        </w:tc>
      </w:tr>
    </w:tbl>
    <w:p w14:paraId="0E66134C" w14:textId="77777777" w:rsidR="00F9672A" w:rsidRPr="00EB675D" w:rsidRDefault="00F9672A" w:rsidP="00EB675D">
      <w:pPr>
        <w:spacing w:after="0" w:line="240" w:lineRule="auto"/>
        <w:jc w:val="both"/>
        <w:rPr>
          <w:rFonts w:eastAsia="Times New Roman" w:cstheme="minorHAnsi"/>
          <w:b/>
          <w:bCs/>
          <w:u w:val="single"/>
          <w:lang w:val="en-SG"/>
        </w:rPr>
      </w:pPr>
    </w:p>
    <w:p w14:paraId="13DB5183" w14:textId="1B220B8C" w:rsidR="008227AD" w:rsidRPr="00EB675D" w:rsidRDefault="009E6883" w:rsidP="001E6213">
      <w:pPr>
        <w:pStyle w:val="Heading2"/>
      </w:pPr>
      <w:bookmarkStart w:id="16" w:name="_Toc194937385"/>
      <w:r w:rsidRPr="00EB675D">
        <w:t xml:space="preserve">What are the main ongoing requirements for </w:t>
      </w:r>
      <w:r w:rsidR="005F5793" w:rsidRPr="00EB675D">
        <w:t>VASPs</w:t>
      </w:r>
      <w:r w:rsidRPr="00EB675D">
        <w:t xml:space="preserve"> regulated </w:t>
      </w:r>
      <w:r w:rsidR="00DD2CD2" w:rsidRPr="00EB675D">
        <w:t xml:space="preserve">in </w:t>
      </w:r>
      <w:r w:rsidR="00314D4A" w:rsidRPr="00EB675D">
        <w:t>Dubai (UAE)</w:t>
      </w:r>
      <w:r w:rsidRPr="00EB675D">
        <w:t>?</w:t>
      </w:r>
      <w:bookmarkEnd w:id="16"/>
    </w:p>
    <w:p w14:paraId="330CFC1E" w14:textId="77777777" w:rsidR="008227AD" w:rsidRPr="00EB675D" w:rsidRDefault="008227AD" w:rsidP="00EB675D">
      <w:pPr>
        <w:pStyle w:val="ListParagraph"/>
        <w:spacing w:after="0" w:line="240" w:lineRule="auto"/>
        <w:ind w:left="360"/>
        <w:jc w:val="both"/>
        <w:rPr>
          <w:rFonts w:eastAsia="Times New Roman" w:cstheme="minorHAnsi"/>
          <w:b/>
          <w:bCs/>
          <w:u w:val="single"/>
          <w:lang w:val="en-SG"/>
        </w:rPr>
      </w:pPr>
    </w:p>
    <w:p w14:paraId="561C1BDD" w14:textId="77777777" w:rsidR="00B628AA" w:rsidRPr="00EB675D" w:rsidRDefault="00B628AA" w:rsidP="00EB675D">
      <w:pPr>
        <w:spacing w:after="0" w:line="240" w:lineRule="auto"/>
        <w:ind w:left="360"/>
        <w:jc w:val="both"/>
        <w:rPr>
          <w:rFonts w:eastAsia="Times New Roman" w:cstheme="minorHAnsi"/>
        </w:rPr>
      </w:pPr>
      <w:r w:rsidRPr="00B628AA">
        <w:rPr>
          <w:rFonts w:eastAsia="Times New Roman" w:cstheme="minorHAnsi"/>
        </w:rPr>
        <w:lastRenderedPageBreak/>
        <w:t>The Virtual Assets Issuance Rulebook, which governs virtual asset activities in Dubai, explains several ongoing requirements for VASPs regulated in Dubai, apart from licensing requirements. These include:</w:t>
      </w:r>
    </w:p>
    <w:p w14:paraId="47217E72" w14:textId="77777777" w:rsidR="00B628AA" w:rsidRPr="00B628AA" w:rsidRDefault="00B628AA" w:rsidP="00EB675D">
      <w:pPr>
        <w:spacing w:after="0" w:line="240" w:lineRule="auto"/>
        <w:jc w:val="both"/>
        <w:rPr>
          <w:rFonts w:eastAsia="Times New Roman" w:cstheme="minorHAnsi"/>
        </w:rPr>
      </w:pPr>
    </w:p>
    <w:p w14:paraId="0F65BF0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Compliance and risk management obligations</w:t>
      </w:r>
      <w:r w:rsidRPr="00B628AA">
        <w:rPr>
          <w:rFonts w:eastAsia="Times New Roman" w:cstheme="minorHAnsi"/>
        </w:rPr>
        <w:t>: VASPs must have effective systems and processes in place for identifying, assessing, managing, and mitigating risks associated with virtual asset activities, including, but not limited to AML/CFT risks. VASPs must also have a compliance program that ensures adherence to all relevant laws and regulations.</w:t>
      </w:r>
    </w:p>
    <w:p w14:paraId="4D5E7643" w14:textId="77777777" w:rsidR="00B628AA" w:rsidRPr="00B628AA" w:rsidRDefault="00B628AA" w:rsidP="00EB675D">
      <w:pPr>
        <w:spacing w:after="0" w:line="240" w:lineRule="auto"/>
        <w:jc w:val="both"/>
        <w:rPr>
          <w:rFonts w:eastAsia="Times New Roman" w:cstheme="minorHAnsi"/>
        </w:rPr>
      </w:pPr>
    </w:p>
    <w:p w14:paraId="3BEBD8CF"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Technology and security obligations</w:t>
      </w:r>
      <w:r w:rsidRPr="00B628AA">
        <w:rPr>
          <w:rFonts w:eastAsia="Times New Roman" w:cstheme="minorHAnsi"/>
        </w:rPr>
        <w:t>: VASPs must have effective technology and security measures in place to safeguard against unauthorised access or use of virtual assets and ensure systems are functional and have appropriate disaster recovery processes.</w:t>
      </w:r>
    </w:p>
    <w:p w14:paraId="61E94953" w14:textId="77777777" w:rsidR="00B628AA" w:rsidRPr="00B628AA" w:rsidRDefault="00B628AA" w:rsidP="00EB675D">
      <w:pPr>
        <w:spacing w:after="0" w:line="240" w:lineRule="auto"/>
        <w:jc w:val="both"/>
        <w:rPr>
          <w:rFonts w:eastAsia="Times New Roman" w:cstheme="minorHAnsi"/>
        </w:rPr>
      </w:pPr>
    </w:p>
    <w:p w14:paraId="4DAEE3F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AML/CFT obligations</w:t>
      </w:r>
      <w:r w:rsidRPr="00B628AA">
        <w:rPr>
          <w:rFonts w:eastAsia="Times New Roman" w:cstheme="minorHAnsi"/>
        </w:rPr>
        <w:t>: VASPs must have systems and processes in place for identifying, assessing, managing and mitigating AML/CFT risks, including implementing policies and procedures for customer due diligence, screening, and on-going monitoring, reporting suspicious activities to authorities promptly.</w:t>
      </w:r>
    </w:p>
    <w:p w14:paraId="496C93BC" w14:textId="77777777" w:rsidR="00B628AA" w:rsidRPr="00B628AA" w:rsidRDefault="00B628AA" w:rsidP="00EB675D">
      <w:pPr>
        <w:spacing w:after="0" w:line="240" w:lineRule="auto"/>
        <w:jc w:val="both"/>
        <w:rPr>
          <w:rFonts w:eastAsia="Times New Roman" w:cstheme="minorHAnsi"/>
        </w:rPr>
      </w:pPr>
    </w:p>
    <w:p w14:paraId="656C69B0"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Marketing and consumer protection obligations</w:t>
      </w:r>
      <w:r w:rsidRPr="00B628AA">
        <w:rPr>
          <w:rFonts w:eastAsia="Times New Roman" w:cstheme="minorHAnsi"/>
        </w:rPr>
        <w:t>: VASPs must ensure that their marketing practices are fair, clear, and not misleading to consumers. All marketing materials should allow consumers to make informed decisions about virtual asset investments. Marketing communications must clearly identify promotional content using terms such as "ad," "advertisement," or "sponsored content" prominently to avoid any confusion. Additionally, VASPs are required to provide clear risk statements to customers before engaging in any virtual asset transactions, outlining the potential risks associated with the investment. Any monetary or non-monetary incentives offered must be clearly communicated in a way that does not mislead consumers or create unrealistic expectations about potential returns. For event marketing, entities not licensed by VARA may still engage in marketing activities at physical events held in Dubai, provided they adhere to strict guidelines, including the requirement to include clear disclaimers stating they are not licensed by VARA. Furthermore, all customer complaints should be handled fairly and efficiently to uphold a high standard of consumer protection.</w:t>
      </w:r>
    </w:p>
    <w:p w14:paraId="0B1F6F57" w14:textId="77777777" w:rsidR="00B628AA" w:rsidRPr="00B628AA" w:rsidRDefault="00B628AA" w:rsidP="00EB675D">
      <w:pPr>
        <w:spacing w:after="0" w:line="240" w:lineRule="auto"/>
        <w:jc w:val="both"/>
        <w:rPr>
          <w:rFonts w:eastAsia="Times New Roman" w:cstheme="minorHAnsi"/>
        </w:rPr>
      </w:pPr>
    </w:p>
    <w:p w14:paraId="4FFF0D62"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Record-Keeping Obligations</w:t>
      </w:r>
      <w:r w:rsidRPr="00B628AA">
        <w:rPr>
          <w:rFonts w:eastAsia="Times New Roman" w:cstheme="minorHAnsi"/>
        </w:rPr>
        <w:t>: VASPs are required to maintain accurate records of all transactions, company books, and other relevant documents for a minimum of five years. These records must be readily accessible for inspection by regulatory authorities to ensure compliance with the regulations. Proper record-keeping is a fundamental obligation for VASPs, allowing for transparency and accountability in their operations.</w:t>
      </w:r>
    </w:p>
    <w:p w14:paraId="06B14BF6" w14:textId="77777777" w:rsidR="00B628AA" w:rsidRPr="00B628AA" w:rsidRDefault="00B628AA" w:rsidP="00EB675D">
      <w:pPr>
        <w:spacing w:after="0" w:line="240" w:lineRule="auto"/>
        <w:jc w:val="both"/>
        <w:rPr>
          <w:rFonts w:eastAsia="Times New Roman" w:cstheme="minorHAnsi"/>
        </w:rPr>
      </w:pPr>
    </w:p>
    <w:p w14:paraId="5ABBCA4C" w14:textId="77777777" w:rsidR="00B628AA" w:rsidRPr="00B628AA"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Adherence to Rulebooks</w:t>
      </w:r>
      <w:r w:rsidRPr="00B628AA">
        <w:rPr>
          <w:rFonts w:eastAsia="Times New Roman" w:cstheme="minorHAnsi"/>
        </w:rPr>
        <w:t>: In addition to complying with the main regulatory framework, VASPs are required to adhere to several specific rulebooks issued by VARA. The Company Rulebook governs corporate governance and internal control systems, ensuring that VASPs have sound management structures in place. The Compliance and Risk Management Rulebook outlines the need for effective compliance systems, internal audits, and procedures to manage risk. The Technology and Information Rulebook establishes requirements for technology governance, including cybersecurity measures and data protection compliance, ensuring the secure handling of virtual asset transactions and sensitive information. Additionally, the Market Conduct Rulebook provides guidelines for marketing practices and interactions with consumers, ensuring that VASPs operate ethically and transparently.</w:t>
      </w:r>
    </w:p>
    <w:p w14:paraId="714CACB5" w14:textId="77777777" w:rsidR="00B628AA" w:rsidRPr="00B628AA" w:rsidRDefault="00B628AA" w:rsidP="005A50DC">
      <w:pPr>
        <w:spacing w:after="0" w:line="240" w:lineRule="auto"/>
        <w:jc w:val="both"/>
        <w:rPr>
          <w:rFonts w:eastAsia="Times New Roman" w:cstheme="minorHAnsi"/>
        </w:rPr>
      </w:pPr>
    </w:p>
    <w:p w14:paraId="258A998F" w14:textId="77777777" w:rsidR="00B628AA" w:rsidRPr="00EB675D"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Regular Audits and Inspections</w:t>
      </w:r>
      <w:r w:rsidRPr="00B628AA">
        <w:rPr>
          <w:rFonts w:eastAsia="Times New Roman" w:cstheme="minorHAnsi"/>
        </w:rPr>
        <w:t>: VARA conducts regular audits and inspections to assess VASPs' compliance with the ongoing regulatory requirements. These audits are essential for ensuring that VASPs adhere to the established standards and maintain proper operational practices. Non-compliance with the regulations can result in penalties ranging from AED 20,000 to AED 200,000, depending on the severity of the breach. Regular inspections help maintain the integrity of the virtual asset market and protect consumer interests by ensuring that VASPs operate within the regulatory framework.</w:t>
      </w:r>
    </w:p>
    <w:p w14:paraId="7A1EA32A" w14:textId="77777777" w:rsidR="00B628AA" w:rsidRPr="00B628AA" w:rsidRDefault="00B628AA" w:rsidP="005A50DC">
      <w:pPr>
        <w:spacing w:after="0" w:line="240" w:lineRule="auto"/>
        <w:jc w:val="both"/>
        <w:rPr>
          <w:rFonts w:eastAsia="Times New Roman" w:cstheme="minorHAnsi"/>
        </w:rPr>
      </w:pPr>
    </w:p>
    <w:p w14:paraId="4A2417A0" w14:textId="5131DBE3" w:rsidR="008477B3" w:rsidRPr="00EB675D" w:rsidRDefault="00B628AA" w:rsidP="005A50DC">
      <w:pPr>
        <w:spacing w:after="0" w:line="240" w:lineRule="auto"/>
        <w:ind w:left="360"/>
        <w:jc w:val="both"/>
        <w:rPr>
          <w:rFonts w:eastAsia="Times New Roman" w:cstheme="minorHAnsi"/>
          <w:lang w:val="en-SG"/>
        </w:rPr>
      </w:pPr>
      <w:r w:rsidRPr="00EB675D">
        <w:rPr>
          <w:rFonts w:eastAsia="Times New Roman" w:cstheme="minorHAnsi"/>
        </w:rPr>
        <w:t xml:space="preserve">It is important to note that these requirements may be updated from time to time, and VASPs must always be kept </w:t>
      </w:r>
      <w:proofErr w:type="gramStart"/>
      <w:r w:rsidRPr="00EB675D">
        <w:rPr>
          <w:rFonts w:eastAsia="Times New Roman" w:cstheme="minorHAnsi"/>
        </w:rPr>
        <w:t>up-to-date</w:t>
      </w:r>
      <w:proofErr w:type="gramEnd"/>
      <w:r w:rsidRPr="00EB675D">
        <w:rPr>
          <w:rFonts w:eastAsia="Times New Roman" w:cstheme="minorHAnsi"/>
        </w:rPr>
        <w:t xml:space="preserve"> with any changes in the regulations and guidelines concerning virtual assets in Dubai.</w:t>
      </w:r>
    </w:p>
    <w:p w14:paraId="60ADBDE6" w14:textId="77777777" w:rsidR="00F9672A" w:rsidRPr="00EB675D" w:rsidRDefault="00F9672A" w:rsidP="005A50DC">
      <w:pPr>
        <w:spacing w:after="0" w:line="240" w:lineRule="auto"/>
        <w:jc w:val="both"/>
        <w:rPr>
          <w:rFonts w:eastAsia="Times New Roman" w:cstheme="minorHAnsi"/>
          <w:lang w:val="en-SG"/>
        </w:rPr>
      </w:pPr>
    </w:p>
    <w:p w14:paraId="22DDE9A1" w14:textId="1E3F68AC" w:rsidR="00A06A6F" w:rsidRPr="00EB675D" w:rsidRDefault="009E6883" w:rsidP="001E6213">
      <w:pPr>
        <w:pStyle w:val="Heading2"/>
      </w:pPr>
      <w:bookmarkStart w:id="17" w:name="_Toc194937386"/>
      <w:r w:rsidRPr="00EB675D">
        <w:t xml:space="preserve">What are the main restrictions on </w:t>
      </w:r>
      <w:r w:rsidR="005F5793" w:rsidRPr="00EB675D">
        <w:t>VASPs</w:t>
      </w:r>
      <w:r w:rsidRPr="00EB675D">
        <w:t xml:space="preserve"> </w:t>
      </w:r>
      <w:r w:rsidR="00DD2CD2" w:rsidRPr="00EB675D">
        <w:t xml:space="preserve">in </w:t>
      </w:r>
      <w:r w:rsidR="00314D4A" w:rsidRPr="00EB675D">
        <w:t>Dubai (UAE)</w:t>
      </w:r>
      <w:r w:rsidRPr="00EB675D">
        <w:t>?</w:t>
      </w:r>
      <w:bookmarkEnd w:id="17"/>
    </w:p>
    <w:p w14:paraId="7B6A6A4C" w14:textId="77777777" w:rsidR="00A06A6F" w:rsidRPr="00EB675D" w:rsidRDefault="00A06A6F" w:rsidP="005A50DC">
      <w:pPr>
        <w:spacing w:after="0" w:line="240" w:lineRule="auto"/>
        <w:ind w:left="357"/>
        <w:jc w:val="both"/>
        <w:rPr>
          <w:rFonts w:eastAsia="Times New Roman" w:cstheme="minorHAnsi"/>
          <w:b/>
          <w:bCs/>
          <w:u w:val="single"/>
          <w:lang w:val="en-SG"/>
        </w:rPr>
      </w:pPr>
    </w:p>
    <w:p w14:paraId="5DE5C769" w14:textId="77777777" w:rsidR="008829CA" w:rsidRPr="00EB675D" w:rsidRDefault="008829CA" w:rsidP="005A50DC">
      <w:pPr>
        <w:spacing w:after="0" w:line="240" w:lineRule="auto"/>
        <w:ind w:left="357"/>
        <w:jc w:val="both"/>
        <w:rPr>
          <w:rFonts w:eastAsia="Times New Roman" w:cstheme="minorHAnsi"/>
        </w:rPr>
      </w:pPr>
      <w:r w:rsidRPr="00530B7F">
        <w:rPr>
          <w:rFonts w:eastAsia="Times New Roman" w:cstheme="minorHAnsi"/>
        </w:rPr>
        <w:t>The Virtual Assets and Related Activities Regulations 2023 in Dubai impose specific restrictions and obligations on VASPs to ensure compliance with the law. Key Provisions are as follows:</w:t>
      </w:r>
    </w:p>
    <w:p w14:paraId="531FE69A" w14:textId="77777777" w:rsidR="008829CA" w:rsidRPr="00530B7F" w:rsidRDefault="008829CA" w:rsidP="005A50DC">
      <w:pPr>
        <w:spacing w:after="0" w:line="240" w:lineRule="auto"/>
        <w:ind w:left="357"/>
        <w:jc w:val="both"/>
        <w:rPr>
          <w:rFonts w:eastAsia="Times New Roman" w:cstheme="minorHAnsi"/>
        </w:rPr>
      </w:pPr>
    </w:p>
    <w:p w14:paraId="09DE8B86"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General prohibition</w:t>
      </w:r>
      <w:r w:rsidRPr="00530B7F">
        <w:rPr>
          <w:rFonts w:eastAsia="Times New Roman" w:cstheme="minorHAnsi"/>
        </w:rPr>
        <w:t>: VASPs are restricted from engaging in Regulated VA Activities unless officially authorised by VARA.</w:t>
      </w:r>
    </w:p>
    <w:p w14:paraId="399B4489" w14:textId="77777777" w:rsidR="008829CA" w:rsidRPr="00530B7F" w:rsidRDefault="008829CA" w:rsidP="005A50DC">
      <w:pPr>
        <w:spacing w:after="0" w:line="240" w:lineRule="auto"/>
        <w:ind w:left="-3"/>
        <w:jc w:val="both"/>
        <w:rPr>
          <w:rFonts w:eastAsia="Times New Roman" w:cstheme="minorHAnsi"/>
        </w:rPr>
      </w:pPr>
    </w:p>
    <w:p w14:paraId="14A0FFBC"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Compliance rules</w:t>
      </w:r>
      <w:r w:rsidRPr="00530B7F">
        <w:rPr>
          <w:rFonts w:eastAsia="Times New Roman" w:cstheme="minorHAnsi"/>
        </w:rPr>
        <w:t>: VASPs must adhere to regulations governing virtual asset issuance and related activities, including the proper classification of virtual assets.</w:t>
      </w:r>
    </w:p>
    <w:p w14:paraId="7F7F791A" w14:textId="77777777" w:rsidR="008829CA" w:rsidRPr="00530B7F" w:rsidRDefault="008829CA" w:rsidP="005A50DC">
      <w:pPr>
        <w:spacing w:after="0" w:line="240" w:lineRule="auto"/>
        <w:ind w:left="-3"/>
        <w:jc w:val="both"/>
        <w:rPr>
          <w:rFonts w:eastAsia="Times New Roman" w:cstheme="minorHAnsi"/>
        </w:rPr>
      </w:pPr>
    </w:p>
    <w:p w14:paraId="5855E849"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Licensing requirements</w:t>
      </w:r>
      <w:r w:rsidRPr="00530B7F">
        <w:rPr>
          <w:rFonts w:eastAsia="Times New Roman" w:cstheme="minorHAnsi"/>
        </w:rPr>
        <w:t>: VARA mandates VASPs to comply with licensing requirements outlined in the regulations, providing VARA with the authority to issue licenses and authorisations.</w:t>
      </w:r>
    </w:p>
    <w:p w14:paraId="72BD0C83" w14:textId="77777777" w:rsidR="008829CA" w:rsidRPr="00530B7F" w:rsidRDefault="008829CA" w:rsidP="005A50DC">
      <w:pPr>
        <w:spacing w:after="0" w:line="240" w:lineRule="auto"/>
        <w:ind w:left="-3"/>
        <w:jc w:val="both"/>
        <w:rPr>
          <w:rFonts w:eastAsia="Times New Roman" w:cstheme="minorHAnsi"/>
        </w:rPr>
      </w:pPr>
    </w:p>
    <w:p w14:paraId="5995EF2E"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Supervisory authority</w:t>
      </w:r>
      <w:r w:rsidRPr="00530B7F">
        <w:rPr>
          <w:rFonts w:eastAsia="Times New Roman" w:cstheme="minorHAnsi"/>
        </w:rPr>
        <w:t>: VARA is granted supervisory powers over VASPs, particularly focused on preventing money laundering and combating terrorism financing in accordance with AML/CFT obligations.</w:t>
      </w:r>
    </w:p>
    <w:p w14:paraId="68059FA2" w14:textId="77777777" w:rsidR="008829CA" w:rsidRPr="00530B7F" w:rsidRDefault="008829CA" w:rsidP="005A50DC">
      <w:pPr>
        <w:spacing w:after="0" w:line="240" w:lineRule="auto"/>
        <w:ind w:left="-3"/>
        <w:jc w:val="both"/>
        <w:rPr>
          <w:rFonts w:eastAsia="Times New Roman" w:cstheme="minorHAnsi"/>
        </w:rPr>
      </w:pPr>
    </w:p>
    <w:p w14:paraId="4C35FFB2" w14:textId="77777777" w:rsidR="008829CA"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Power to classify</w:t>
      </w:r>
      <w:r w:rsidRPr="00530B7F">
        <w:rPr>
          <w:rFonts w:eastAsia="Times New Roman" w:cstheme="minorHAnsi"/>
        </w:rPr>
        <w:t>: VARA has the authority to classify virtual assets, including the ability to designate certain assets as prohibited virtual assets. This classification restricts VASPs from engaging in activities involving these specified assets.</w:t>
      </w:r>
    </w:p>
    <w:p w14:paraId="4E9F37BD" w14:textId="77777777" w:rsidR="008829CA" w:rsidRDefault="008829CA" w:rsidP="005A50DC">
      <w:pPr>
        <w:pStyle w:val="ListParagraph"/>
        <w:spacing w:after="0" w:line="240" w:lineRule="auto"/>
        <w:rPr>
          <w:rFonts w:eastAsia="Times New Roman" w:cstheme="minorHAnsi"/>
          <w:u w:val="single"/>
        </w:rPr>
      </w:pPr>
    </w:p>
    <w:p w14:paraId="5FBE3626" w14:textId="5728420E" w:rsidR="00B36B1B" w:rsidRPr="00797A5C" w:rsidRDefault="008829CA" w:rsidP="005A50DC">
      <w:pPr>
        <w:numPr>
          <w:ilvl w:val="0"/>
          <w:numId w:val="185"/>
        </w:numPr>
        <w:spacing w:after="0" w:line="240" w:lineRule="auto"/>
        <w:ind w:left="1077"/>
        <w:jc w:val="both"/>
        <w:rPr>
          <w:rFonts w:eastAsia="Times New Roman" w:cstheme="minorHAnsi"/>
        </w:rPr>
      </w:pPr>
      <w:r w:rsidRPr="008829CA">
        <w:rPr>
          <w:rFonts w:eastAsia="Times New Roman" w:cstheme="minorHAnsi"/>
          <w:u w:val="single"/>
        </w:rPr>
        <w:t>Enforcement of prohibition</w:t>
      </w:r>
      <w:r w:rsidRPr="008829CA">
        <w:rPr>
          <w:rFonts w:eastAsia="Times New Roman" w:cstheme="minorHAnsi"/>
        </w:rPr>
        <w:t>: Emphasising the general prohibition, VASPs are explicitly barred from participating in regulated VA activities unless duly authorised by VARA.</w:t>
      </w:r>
    </w:p>
    <w:p w14:paraId="080FB67F" w14:textId="77777777" w:rsidR="00F9672A" w:rsidRPr="00EB675D" w:rsidRDefault="00F9672A" w:rsidP="005A50DC">
      <w:pPr>
        <w:spacing w:after="0" w:line="240" w:lineRule="auto"/>
        <w:jc w:val="both"/>
        <w:rPr>
          <w:rFonts w:eastAsia="Times New Roman" w:cstheme="minorHAnsi"/>
          <w:lang w:val="en-SG"/>
        </w:rPr>
      </w:pPr>
    </w:p>
    <w:p w14:paraId="39ACC6B9" w14:textId="77777777" w:rsidR="00D47E2B" w:rsidRPr="00D47E2B" w:rsidRDefault="00D47E2B" w:rsidP="001E6213">
      <w:pPr>
        <w:pStyle w:val="Heading2"/>
      </w:pPr>
      <w:bookmarkStart w:id="18" w:name="_Toc194937387"/>
      <w:r w:rsidRPr="00D47E2B">
        <w:t xml:space="preserve">What is the main information that regulated virtual asset trading platforms </w:t>
      </w:r>
      <w:proofErr w:type="gramStart"/>
      <w:r w:rsidRPr="00D47E2B">
        <w:t>have to</w:t>
      </w:r>
      <w:proofErr w:type="gramEnd"/>
      <w:r w:rsidRPr="00D47E2B">
        <w:t xml:space="preserve"> make available to its customers?</w:t>
      </w:r>
      <w:bookmarkEnd w:id="18"/>
    </w:p>
    <w:p w14:paraId="65832D2E" w14:textId="4914AFE5" w:rsidR="00D47E2B" w:rsidRPr="00EB675D" w:rsidRDefault="00D47E2B" w:rsidP="005A50DC">
      <w:pPr>
        <w:spacing w:after="0" w:line="240" w:lineRule="auto"/>
        <w:ind w:left="357"/>
        <w:jc w:val="both"/>
        <w:rPr>
          <w:rFonts w:eastAsia="Times New Roman" w:cstheme="minorHAnsi"/>
          <w:b/>
          <w:bCs/>
          <w:u w:val="single"/>
          <w:lang w:val="en-SG"/>
        </w:rPr>
      </w:pPr>
    </w:p>
    <w:p w14:paraId="6A9CF96A" w14:textId="77777777" w:rsidR="00D47E2B" w:rsidRPr="00EB675D" w:rsidRDefault="00D47E2B" w:rsidP="005A50DC">
      <w:pPr>
        <w:spacing w:after="0" w:line="240" w:lineRule="auto"/>
        <w:ind w:left="357"/>
        <w:jc w:val="both"/>
        <w:rPr>
          <w:rFonts w:eastAsia="Times New Roman" w:cstheme="minorHAnsi"/>
        </w:rPr>
      </w:pPr>
      <w:r w:rsidRPr="00D47E2B">
        <w:rPr>
          <w:rFonts w:eastAsia="Times New Roman" w:cstheme="minorHAnsi"/>
        </w:rPr>
        <w:t xml:space="preserve">Under Administrative Order No. (01) of 2022 and Administrative Order No. (02) of 2022, the VARA has established specific provisions that require virtual asset trading platforms to provide essential information to their customers. These requirements have been updated to enhance consumer protection </w:t>
      </w:r>
      <w:proofErr w:type="gramStart"/>
      <w:r w:rsidRPr="00D47E2B">
        <w:rPr>
          <w:rFonts w:eastAsia="Times New Roman" w:cstheme="minorHAnsi"/>
        </w:rPr>
        <w:t>in light of</w:t>
      </w:r>
      <w:proofErr w:type="gramEnd"/>
      <w:r w:rsidRPr="00D47E2B">
        <w:rPr>
          <w:rFonts w:eastAsia="Times New Roman" w:cstheme="minorHAnsi"/>
        </w:rPr>
        <w:t xml:space="preserve"> recent regulatory changes effective October 1, 2024. The main information that regulated virtual asset trading platforms must make available includes:</w:t>
      </w:r>
    </w:p>
    <w:p w14:paraId="5A67DA1A" w14:textId="77777777" w:rsidR="00D47E2B" w:rsidRPr="00D47E2B" w:rsidRDefault="00D47E2B" w:rsidP="005A50DC">
      <w:pPr>
        <w:spacing w:after="0" w:line="240" w:lineRule="auto"/>
        <w:ind w:left="357"/>
        <w:jc w:val="both"/>
        <w:rPr>
          <w:rFonts w:eastAsia="Times New Roman" w:cstheme="minorHAnsi"/>
        </w:rPr>
      </w:pPr>
    </w:p>
    <w:p w14:paraId="23194EDF"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lastRenderedPageBreak/>
        <w:t xml:space="preserve">clear disclosure of the risks associated with virtual assets, including market volatility, liquidity risks, and potential loss of </w:t>
      </w:r>
      <w:proofErr w:type="gramStart"/>
      <w:r w:rsidRPr="00D47E2B">
        <w:rPr>
          <w:rFonts w:eastAsia="Times New Roman" w:cstheme="minorHAnsi"/>
        </w:rPr>
        <w:t>capital;</w:t>
      </w:r>
      <w:proofErr w:type="gramEnd"/>
    </w:p>
    <w:p w14:paraId="5309DE89" w14:textId="77777777" w:rsidR="005A50DC" w:rsidRPr="00D47E2B" w:rsidRDefault="005A50DC" w:rsidP="005A50DC">
      <w:pPr>
        <w:spacing w:after="0" w:line="240" w:lineRule="auto"/>
        <w:ind w:left="1077"/>
        <w:jc w:val="both"/>
        <w:rPr>
          <w:rFonts w:eastAsia="Times New Roman" w:cstheme="minorHAnsi"/>
        </w:rPr>
      </w:pPr>
    </w:p>
    <w:p w14:paraId="1CF3820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comprehensive details regarding the terms and conditions of the platform's services, including any fees, charges, and expenses related to </w:t>
      </w:r>
      <w:proofErr w:type="gramStart"/>
      <w:r w:rsidRPr="00D47E2B">
        <w:rPr>
          <w:rFonts w:eastAsia="Times New Roman" w:cstheme="minorHAnsi"/>
        </w:rPr>
        <w:t>transactions;</w:t>
      </w:r>
      <w:proofErr w:type="gramEnd"/>
    </w:p>
    <w:p w14:paraId="0960D110" w14:textId="77777777" w:rsidR="005A50DC" w:rsidRPr="00D47E2B" w:rsidRDefault="005A50DC" w:rsidP="005A50DC">
      <w:pPr>
        <w:spacing w:after="0" w:line="240" w:lineRule="auto"/>
        <w:jc w:val="both"/>
        <w:rPr>
          <w:rFonts w:eastAsia="Times New Roman" w:cstheme="minorHAnsi"/>
        </w:rPr>
      </w:pPr>
    </w:p>
    <w:p w14:paraId="44D0F9A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detailed procedures for making payments through the platform, including accepted payment methods and any associated </w:t>
      </w:r>
      <w:proofErr w:type="gramStart"/>
      <w:r w:rsidRPr="00D47E2B">
        <w:rPr>
          <w:rFonts w:eastAsia="Times New Roman" w:cstheme="minorHAnsi"/>
        </w:rPr>
        <w:t>costs;</w:t>
      </w:r>
      <w:proofErr w:type="gramEnd"/>
    </w:p>
    <w:p w14:paraId="4F35351C" w14:textId="77777777" w:rsidR="005A50DC" w:rsidRPr="00D47E2B" w:rsidRDefault="005A50DC" w:rsidP="005A50DC">
      <w:pPr>
        <w:spacing w:after="0" w:line="240" w:lineRule="auto"/>
        <w:jc w:val="both"/>
        <w:rPr>
          <w:rFonts w:eastAsia="Times New Roman" w:cstheme="minorHAnsi"/>
        </w:rPr>
      </w:pPr>
    </w:p>
    <w:p w14:paraId="20072A3B"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clear instructions on how customers can buy, sell, or exchange virtual assets on the platform, including any limitations or </w:t>
      </w:r>
      <w:proofErr w:type="gramStart"/>
      <w:r w:rsidRPr="00D47E2B">
        <w:rPr>
          <w:rFonts w:eastAsia="Times New Roman" w:cstheme="minorHAnsi"/>
        </w:rPr>
        <w:t>requirements;</w:t>
      </w:r>
      <w:proofErr w:type="gramEnd"/>
    </w:p>
    <w:p w14:paraId="1CAEF0AE" w14:textId="77777777" w:rsidR="005A50DC" w:rsidRPr="00D47E2B" w:rsidRDefault="005A50DC" w:rsidP="005A50DC">
      <w:pPr>
        <w:spacing w:after="0" w:line="240" w:lineRule="auto"/>
        <w:jc w:val="both"/>
        <w:rPr>
          <w:rFonts w:eastAsia="Times New Roman" w:cstheme="minorHAnsi"/>
        </w:rPr>
      </w:pPr>
    </w:p>
    <w:p w14:paraId="4DEBDEBE"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information on how customers can file complaints and the processes for resolving disputes effectively and </w:t>
      </w:r>
      <w:proofErr w:type="gramStart"/>
      <w:r w:rsidRPr="00D47E2B">
        <w:rPr>
          <w:rFonts w:eastAsia="Times New Roman" w:cstheme="minorHAnsi"/>
        </w:rPr>
        <w:t>efficiently;</w:t>
      </w:r>
      <w:proofErr w:type="gramEnd"/>
    </w:p>
    <w:p w14:paraId="2AC3751C" w14:textId="77777777" w:rsidR="005A50DC" w:rsidRPr="00D47E2B" w:rsidRDefault="005A50DC" w:rsidP="005A50DC">
      <w:pPr>
        <w:spacing w:after="0" w:line="240" w:lineRule="auto"/>
        <w:jc w:val="both"/>
        <w:rPr>
          <w:rFonts w:eastAsia="Times New Roman" w:cstheme="minorHAnsi"/>
        </w:rPr>
      </w:pPr>
    </w:p>
    <w:p w14:paraId="6CCCF989"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as</w:t>
      </w:r>
      <w:proofErr w:type="gramEnd"/>
      <w:r w:rsidRPr="00D47E2B">
        <w:rPr>
          <w:rFonts w:eastAsia="Times New Roman" w:cstheme="minorHAnsi"/>
        </w:rPr>
        <w:t xml:space="preserve"> per the updated marketing </w:t>
      </w:r>
      <w:proofErr w:type="gramStart"/>
      <w:r w:rsidRPr="00D47E2B">
        <w:rPr>
          <w:rFonts w:eastAsia="Times New Roman" w:cstheme="minorHAnsi"/>
        </w:rPr>
        <w:t>regulations</w:t>
      </w:r>
      <w:proofErr w:type="gramEnd"/>
      <w:r w:rsidRPr="00D47E2B">
        <w:rPr>
          <w:rFonts w:eastAsia="Times New Roman" w:cstheme="minorHAnsi"/>
        </w:rPr>
        <w:t xml:space="preserve"> effective October 1, 2024, platforms must ensure that all marketing communications are accurate and not misleading. This includes providing risk disclosure statements before transactions and ensuring that promotional content is clearly identified as </w:t>
      </w:r>
      <w:proofErr w:type="gramStart"/>
      <w:r w:rsidRPr="00D47E2B">
        <w:rPr>
          <w:rFonts w:eastAsia="Times New Roman" w:cstheme="minorHAnsi"/>
        </w:rPr>
        <w:t>such;</w:t>
      </w:r>
      <w:proofErr w:type="gramEnd"/>
    </w:p>
    <w:p w14:paraId="74BC1038" w14:textId="77777777" w:rsidR="005A50DC" w:rsidRPr="00D47E2B" w:rsidRDefault="005A50DC" w:rsidP="005A50DC">
      <w:pPr>
        <w:spacing w:after="0" w:line="240" w:lineRule="auto"/>
        <w:jc w:val="both"/>
        <w:rPr>
          <w:rFonts w:eastAsia="Times New Roman" w:cstheme="minorHAnsi"/>
        </w:rPr>
      </w:pPr>
    </w:p>
    <w:p w14:paraId="0E8DE6CC"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any</w:t>
      </w:r>
      <w:proofErr w:type="gramEnd"/>
      <w:r w:rsidRPr="00D47E2B">
        <w:rPr>
          <w:rFonts w:eastAsia="Times New Roman" w:cstheme="minorHAnsi"/>
        </w:rPr>
        <w:t xml:space="preserve"> monetary or non-monetary incentives offered must be clearly communicated without creating urgency or misleading investors. These incentives should not overshadow risk disclosures and must be presented alongside any ongoing </w:t>
      </w:r>
      <w:proofErr w:type="gramStart"/>
      <w:r w:rsidRPr="00D47E2B">
        <w:rPr>
          <w:rFonts w:eastAsia="Times New Roman" w:cstheme="minorHAnsi"/>
        </w:rPr>
        <w:t>charges;</w:t>
      </w:r>
      <w:proofErr w:type="gramEnd"/>
    </w:p>
    <w:p w14:paraId="567486D2" w14:textId="77777777" w:rsidR="005A50DC" w:rsidRPr="00D47E2B" w:rsidRDefault="005A50DC" w:rsidP="005A50DC">
      <w:pPr>
        <w:spacing w:after="0" w:line="240" w:lineRule="auto"/>
        <w:jc w:val="both"/>
        <w:rPr>
          <w:rFonts w:eastAsia="Times New Roman" w:cstheme="minorHAnsi"/>
        </w:rPr>
      </w:pPr>
    </w:p>
    <w:p w14:paraId="410F6C1B" w14:textId="11F94F8F"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required disclaimers in marketing materials must be prominently displayed in a manner that is easily seen and legible across all </w:t>
      </w:r>
      <w:proofErr w:type="gramStart"/>
      <w:r w:rsidRPr="00D47E2B">
        <w:rPr>
          <w:rFonts w:eastAsia="Times New Roman" w:cstheme="minorHAnsi"/>
        </w:rPr>
        <w:t>devices;</w:t>
      </w:r>
      <w:proofErr w:type="gramEnd"/>
    </w:p>
    <w:p w14:paraId="23F4115A" w14:textId="77777777" w:rsidR="005A50DC" w:rsidRPr="005A50DC" w:rsidRDefault="005A50DC" w:rsidP="005A50DC">
      <w:pPr>
        <w:spacing w:after="0" w:line="240" w:lineRule="auto"/>
        <w:jc w:val="both"/>
        <w:rPr>
          <w:rFonts w:eastAsia="Times New Roman" w:cstheme="minorHAnsi"/>
        </w:rPr>
      </w:pPr>
    </w:p>
    <w:p w14:paraId="1FFFA2FA" w14:textId="77777777"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any other information deemed necessary by VARA or the trading platform to help customers make informed decisions about using the platform; and</w:t>
      </w:r>
    </w:p>
    <w:p w14:paraId="2D1C087E" w14:textId="77777777" w:rsidR="005A50DC" w:rsidRDefault="005A50DC" w:rsidP="005A50DC">
      <w:pPr>
        <w:pStyle w:val="ListParagraph"/>
        <w:spacing w:after="0" w:line="240" w:lineRule="auto"/>
        <w:rPr>
          <w:rFonts w:eastAsia="Times New Roman" w:cstheme="minorHAnsi"/>
        </w:rPr>
      </w:pPr>
    </w:p>
    <w:p w14:paraId="3E3398E9" w14:textId="4AE72191" w:rsidR="00D47E2B" w:rsidRPr="005A50DC" w:rsidRDefault="00D47E2B" w:rsidP="005A50DC">
      <w:pPr>
        <w:numPr>
          <w:ilvl w:val="0"/>
          <w:numId w:val="186"/>
        </w:numPr>
        <w:spacing w:after="0" w:line="240" w:lineRule="auto"/>
        <w:ind w:left="1077"/>
        <w:jc w:val="both"/>
        <w:rPr>
          <w:rFonts w:eastAsia="Times New Roman" w:cstheme="minorHAnsi"/>
        </w:rPr>
      </w:pPr>
      <w:r w:rsidRPr="005A50DC">
        <w:rPr>
          <w:rFonts w:eastAsia="Times New Roman" w:cstheme="minorHAnsi"/>
        </w:rPr>
        <w:t xml:space="preserve">platforms should provide access to VARA’s newly issued Marketing Guidance Document, which outlines </w:t>
      </w:r>
      <w:proofErr w:type="gramStart"/>
      <w:r w:rsidRPr="005A50DC">
        <w:rPr>
          <w:rFonts w:eastAsia="Times New Roman" w:cstheme="minorHAnsi"/>
        </w:rPr>
        <w:t>best</w:t>
      </w:r>
      <w:proofErr w:type="gramEnd"/>
      <w:r w:rsidRPr="005A50DC">
        <w:rPr>
          <w:rFonts w:eastAsia="Times New Roman" w:cstheme="minorHAnsi"/>
        </w:rPr>
        <w:t xml:space="preserve"> practices for compliant marketing activities within the virtual asset sector.</w:t>
      </w:r>
    </w:p>
    <w:p w14:paraId="7EBF0DA2" w14:textId="77777777" w:rsidR="00D47E2B" w:rsidRPr="00EB675D" w:rsidRDefault="00D47E2B" w:rsidP="005A50DC">
      <w:pPr>
        <w:spacing w:after="0" w:line="240" w:lineRule="auto"/>
        <w:ind w:left="357"/>
        <w:jc w:val="both"/>
        <w:rPr>
          <w:rFonts w:eastAsia="Times New Roman" w:cstheme="minorHAnsi"/>
          <w:b/>
          <w:bCs/>
          <w:u w:val="single"/>
          <w:lang w:val="en-SG"/>
        </w:rPr>
      </w:pPr>
    </w:p>
    <w:p w14:paraId="68A9D488" w14:textId="746917B2" w:rsidR="00E538DF" w:rsidRPr="00EB675D" w:rsidRDefault="009E6883" w:rsidP="001E6213">
      <w:pPr>
        <w:pStyle w:val="Heading2"/>
      </w:pPr>
      <w:bookmarkStart w:id="19" w:name="_Toc194937388"/>
      <w:r w:rsidRPr="00EB675D">
        <w:t>What market misconduct legislation/regulations apply to virtual assets?</w:t>
      </w:r>
      <w:bookmarkEnd w:id="19"/>
    </w:p>
    <w:p w14:paraId="74044C55" w14:textId="77777777" w:rsidR="00B36B1B" w:rsidRPr="00EB675D" w:rsidRDefault="00B36B1B" w:rsidP="005A50DC">
      <w:pPr>
        <w:spacing w:after="0" w:line="240" w:lineRule="auto"/>
        <w:ind w:left="357"/>
        <w:jc w:val="both"/>
        <w:rPr>
          <w:rFonts w:eastAsia="Times New Roman" w:cstheme="minorHAnsi"/>
          <w:b/>
          <w:bCs/>
          <w:u w:val="single"/>
          <w:lang w:val="en-SG"/>
        </w:rPr>
      </w:pPr>
    </w:p>
    <w:p w14:paraId="0C813E4A" w14:textId="77671430" w:rsidR="008E0F31" w:rsidRPr="00EB675D" w:rsidRDefault="008E0F31" w:rsidP="005A50DC">
      <w:pPr>
        <w:spacing w:after="0" w:line="240" w:lineRule="auto"/>
        <w:ind w:left="357"/>
        <w:jc w:val="both"/>
        <w:rPr>
          <w:rFonts w:eastAsia="Times New Roman" w:cstheme="minorHAnsi"/>
          <w:bCs/>
        </w:rPr>
      </w:pPr>
      <w:r w:rsidRPr="008E0F31">
        <w:rPr>
          <w:rFonts w:eastAsia="Times New Roman" w:cstheme="minorHAnsi"/>
          <w:bCs/>
        </w:rPr>
        <w:t xml:space="preserve">Market misconduct refers to any actions that can influence the market value of virtual assets, such as insider dealing, unlawful disclosure, or market manipulation. The Virtual Assets and Related Activities Regulations 2023, </w:t>
      </w:r>
      <w:hyperlink r:id="rId38"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Marketing and Promotions Guidelines 2024 set out provisions to prevent and detect market misconduct in virtual asset trading.</w:t>
      </w:r>
    </w:p>
    <w:p w14:paraId="5BC7C791" w14:textId="77777777" w:rsidR="008E0F31" w:rsidRPr="008E0F31" w:rsidRDefault="008E0F31" w:rsidP="00EB675D">
      <w:pPr>
        <w:spacing w:after="0" w:line="240" w:lineRule="auto"/>
        <w:ind w:left="357"/>
        <w:jc w:val="both"/>
        <w:rPr>
          <w:rFonts w:eastAsia="Times New Roman" w:cstheme="minorHAnsi"/>
          <w:bCs/>
        </w:rPr>
      </w:pPr>
    </w:p>
    <w:p w14:paraId="553F5826"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VARA has the power to conduct investigations, examinations, and impose fines and penalties related to market misconduct. Any entity found guilty of engaging in or attempting to engage in market misconduct in </w:t>
      </w:r>
      <w:proofErr w:type="gramStart"/>
      <w:r w:rsidRPr="008E0F31">
        <w:rPr>
          <w:rFonts w:eastAsia="Times New Roman" w:cstheme="minorHAnsi"/>
          <w:bCs/>
        </w:rPr>
        <w:t>Dubai,</w:t>
      </w:r>
      <w:proofErr w:type="gramEnd"/>
      <w:r w:rsidRPr="008E0F31">
        <w:rPr>
          <w:rFonts w:eastAsia="Times New Roman" w:cstheme="minorHAnsi"/>
          <w:bCs/>
        </w:rPr>
        <w:t xml:space="preserve"> will face severe penalties under the regulations. </w:t>
      </w:r>
    </w:p>
    <w:p w14:paraId="21FDFF24" w14:textId="77777777" w:rsidR="008E0F31" w:rsidRPr="008E0F31" w:rsidRDefault="008E0F31" w:rsidP="00EB675D">
      <w:pPr>
        <w:spacing w:after="0" w:line="240" w:lineRule="auto"/>
        <w:ind w:left="357"/>
        <w:jc w:val="both"/>
        <w:rPr>
          <w:rFonts w:eastAsia="Times New Roman" w:cstheme="minorHAnsi"/>
          <w:bCs/>
        </w:rPr>
      </w:pPr>
    </w:p>
    <w:p w14:paraId="7A259DA4"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Examples of market misconduct offenses and penalties include: </w:t>
      </w:r>
    </w:p>
    <w:p w14:paraId="19CF2769" w14:textId="77777777" w:rsidR="008E0F31" w:rsidRPr="008E0F31" w:rsidRDefault="008E0F31" w:rsidP="00EB675D">
      <w:pPr>
        <w:spacing w:after="0" w:line="240" w:lineRule="auto"/>
        <w:ind w:left="357"/>
        <w:jc w:val="both"/>
        <w:rPr>
          <w:rFonts w:eastAsia="Times New Roman" w:cstheme="minorHAnsi"/>
          <w:bCs/>
        </w:rPr>
      </w:pPr>
    </w:p>
    <w:p w14:paraId="101D95B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lastRenderedPageBreak/>
        <w:t>Insider dealing</w:t>
      </w:r>
      <w:r w:rsidRPr="008E0F31">
        <w:rPr>
          <w:rFonts w:eastAsia="Times New Roman" w:cstheme="minorHAnsi"/>
          <w:bCs/>
        </w:rPr>
        <w:t xml:space="preserve">: This occurs when someone having access to sufficient inside information about </w:t>
      </w:r>
      <w:proofErr w:type="gramStart"/>
      <w:r w:rsidRPr="008E0F31">
        <w:rPr>
          <w:rFonts w:eastAsia="Times New Roman" w:cstheme="minorHAnsi"/>
          <w:bCs/>
        </w:rPr>
        <w:t>a security</w:t>
      </w:r>
      <w:proofErr w:type="gramEnd"/>
      <w:r w:rsidRPr="008E0F31">
        <w:rPr>
          <w:rFonts w:eastAsia="Times New Roman" w:cstheme="minorHAnsi"/>
          <w:bCs/>
        </w:rPr>
        <w:t xml:space="preserve"> or stock deals in that security illegally to make a profit or avoid losses. The penalty for insider dealing in Dubai is a minimum sentence of two years and a maximum sentence of five years imprisonment, or a fine of at least AED 500,000 and not more than AED 5,000,000 or both.</w:t>
      </w:r>
    </w:p>
    <w:p w14:paraId="5A06428F" w14:textId="77777777" w:rsidR="008E0F31" w:rsidRPr="008E0F31" w:rsidRDefault="008E0F31" w:rsidP="00EB675D">
      <w:pPr>
        <w:spacing w:after="0" w:line="240" w:lineRule="auto"/>
        <w:ind w:left="-3"/>
        <w:jc w:val="both"/>
        <w:rPr>
          <w:rFonts w:eastAsia="Times New Roman" w:cstheme="minorHAnsi"/>
          <w:bCs/>
        </w:rPr>
      </w:pPr>
    </w:p>
    <w:p w14:paraId="3D344C0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Unlawful disclosure</w:t>
      </w:r>
      <w:r w:rsidRPr="008E0F31">
        <w:rPr>
          <w:rFonts w:eastAsia="Times New Roman" w:cstheme="minorHAnsi"/>
          <w:bCs/>
        </w:rPr>
        <w:t xml:space="preserve">: This occurs when someone without lawful </w:t>
      </w:r>
      <w:proofErr w:type="gramStart"/>
      <w:r w:rsidRPr="008E0F31">
        <w:rPr>
          <w:rFonts w:eastAsia="Times New Roman" w:cstheme="minorHAnsi"/>
          <w:bCs/>
        </w:rPr>
        <w:t>authority,</w:t>
      </w:r>
      <w:proofErr w:type="gramEnd"/>
      <w:r w:rsidRPr="008E0F31">
        <w:rPr>
          <w:rFonts w:eastAsia="Times New Roman" w:cstheme="minorHAnsi"/>
          <w:bCs/>
        </w:rPr>
        <w:t xml:space="preserve"> discloses non-public information about a listed company or virtual asset. The penalty for unlawful disclosure in Dubai is a minimum sentence of one year and a maximum sentence of three years imprisonment, or a fine of at least AED 200,000 and not more than AED 3,000,000 or both.</w:t>
      </w:r>
    </w:p>
    <w:p w14:paraId="1A568257" w14:textId="77777777" w:rsidR="008E0F31" w:rsidRPr="008E0F31" w:rsidRDefault="008E0F31" w:rsidP="00EB675D">
      <w:pPr>
        <w:spacing w:after="0" w:line="240" w:lineRule="auto"/>
        <w:ind w:left="-3"/>
        <w:jc w:val="both"/>
        <w:rPr>
          <w:rFonts w:eastAsia="Times New Roman" w:cstheme="minorHAnsi"/>
          <w:bCs/>
        </w:rPr>
      </w:pPr>
    </w:p>
    <w:p w14:paraId="03D30180" w14:textId="77777777" w:rsidR="008E0F31" w:rsidRPr="00EB675D"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Market manipulation</w:t>
      </w:r>
      <w:r w:rsidRPr="008E0F31">
        <w:rPr>
          <w:rFonts w:eastAsia="Times New Roman" w:cstheme="minorHAnsi"/>
          <w:bCs/>
        </w:rPr>
        <w:t>: This occurs when someone controls or affects market behavior of virtual assets, stock, security to derive benefits illegally. The penalty for market manipulation in Dubai is a minimum sentence of two years and a maximum sentence of ten years imprisonment, or a fine of at least AED 1,000,000 and not more than AED 10,000,000 or both.</w:t>
      </w:r>
    </w:p>
    <w:p w14:paraId="7D6E68DF" w14:textId="77777777" w:rsidR="008E0F31" w:rsidRPr="008E0F31" w:rsidRDefault="008E0F31" w:rsidP="00EB675D">
      <w:pPr>
        <w:spacing w:after="0" w:line="240" w:lineRule="auto"/>
        <w:jc w:val="both"/>
        <w:rPr>
          <w:rFonts w:eastAsia="Times New Roman" w:cstheme="minorHAnsi"/>
          <w:bCs/>
        </w:rPr>
      </w:pPr>
    </w:p>
    <w:p w14:paraId="50ED4053"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In addition to the above penalties, VARA may also impose fines, revoke a company's license to trade virtual assets, or publicly name and shame the offending entity. It is worth noting that penalties may change, depending on the severity of the misconduct and its impact on the market. Moreover, the regulations empower VARA to act against market misconduct using its powers to investigate, or direct responsible individuals or licensed VASP to take remedial actions.</w:t>
      </w:r>
    </w:p>
    <w:p w14:paraId="38714037" w14:textId="77777777" w:rsidR="008E0F31" w:rsidRPr="008E0F31" w:rsidRDefault="008E0F31" w:rsidP="00EB675D">
      <w:pPr>
        <w:spacing w:after="0" w:line="240" w:lineRule="auto"/>
        <w:ind w:left="357"/>
        <w:jc w:val="both"/>
        <w:rPr>
          <w:rFonts w:eastAsia="Times New Roman" w:cstheme="minorHAnsi"/>
          <w:bCs/>
        </w:rPr>
      </w:pPr>
    </w:p>
    <w:p w14:paraId="38C98C2A" w14:textId="0255FCD8"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Furthermore, as part of its ongoing efforts to enhance regulatory oversight in the virtual asset sector, the Dubai VARA introduced new marketing regulations under the </w:t>
      </w:r>
      <w:hyperlink r:id="rId39"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w:t>
      </w:r>
      <w:hyperlink r:id="rId40" w:history="1">
        <w:r w:rsidRPr="008E0F31">
          <w:rPr>
            <w:rStyle w:val="Hyperlink"/>
            <w:rFonts w:eastAsia="Times New Roman" w:cstheme="minorHAnsi"/>
            <w:bCs/>
            <w:color w:val="FF6E00"/>
            <w:u w:val="none"/>
          </w:rPr>
          <w:t>Marketing and Promotions Guidelines 2024</w:t>
        </w:r>
      </w:hyperlink>
      <w:r w:rsidRPr="008E0F31">
        <w:rPr>
          <w:rFonts w:eastAsia="Times New Roman" w:cstheme="minorHAnsi"/>
          <w:bCs/>
        </w:rPr>
        <w:t>, effective from October 1, 2024. These regulations aim to ensure ethical marketing practices. One of the key elements of the updated framework is the broad definition of marketing, which encompasses all forms of advertisement and promotional content related to virtual assets. This applies to both traditional and digital platforms, ensuring that any communication promoting virtual assets falls under regulatory scrutiny.</w:t>
      </w:r>
    </w:p>
    <w:p w14:paraId="4167D995" w14:textId="77777777" w:rsidR="008E0F31" w:rsidRPr="008E0F31" w:rsidRDefault="008E0F31" w:rsidP="00EB675D">
      <w:pPr>
        <w:spacing w:after="0" w:line="240" w:lineRule="auto"/>
        <w:ind w:left="357"/>
        <w:jc w:val="both"/>
        <w:rPr>
          <w:rFonts w:eastAsia="Times New Roman" w:cstheme="minorHAnsi"/>
          <w:bCs/>
        </w:rPr>
      </w:pPr>
    </w:p>
    <w:p w14:paraId="27130332"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VARA mandates that all marketing materials must be clear, accurate, and truthful, preventing any misleading information about virtual assets. Companies are required to ensure that the benefits, risks, and legal status of virtual assets are not misrepresented in their promotional efforts. A significant aspect of the regulations is the requirement for prominent disclaimers. Disclaimers regarding the risks associated with virtual assets must be clearly visible and easily understandable across all platforms, highlighting market volatility, regulatory uncertainties, and potential investment losses.</w:t>
      </w:r>
    </w:p>
    <w:p w14:paraId="219D331A" w14:textId="77777777" w:rsidR="007B050F" w:rsidRPr="008E0F31" w:rsidRDefault="007B050F" w:rsidP="00EB675D">
      <w:pPr>
        <w:spacing w:after="0" w:line="240" w:lineRule="auto"/>
        <w:ind w:left="357"/>
        <w:jc w:val="both"/>
        <w:rPr>
          <w:rFonts w:eastAsia="Times New Roman" w:cstheme="minorHAnsi"/>
          <w:bCs/>
        </w:rPr>
      </w:pPr>
    </w:p>
    <w:p w14:paraId="5D7A32D5" w14:textId="1F6E6A23" w:rsidR="00B36B1B" w:rsidRPr="00EB675D" w:rsidRDefault="008E0F31" w:rsidP="00EB675D">
      <w:pPr>
        <w:spacing w:after="0" w:line="240" w:lineRule="auto"/>
        <w:ind w:left="357"/>
        <w:jc w:val="both"/>
        <w:rPr>
          <w:rFonts w:eastAsia="Times New Roman" w:cstheme="minorHAnsi"/>
          <w:bCs/>
        </w:rPr>
      </w:pPr>
      <w:r w:rsidRPr="00EB675D">
        <w:rPr>
          <w:rFonts w:eastAsia="Times New Roman" w:cstheme="minorHAnsi"/>
          <w:bCs/>
        </w:rPr>
        <w:t>Additionally, the regulations address the disclosure of incentives. If marketers offer monetary or non-monetary incentives for promoting virtual assets, they must disclose these incentives responsibly, alongside risk warnings. This ensures that incentives do not overshadow the inherent risks involved in virtual asset investments. VARA's enforcement measures include strict penalties for non-compliance, ranging from fines to the suspension of marketing activities within Dubai’s virtual asset market.</w:t>
      </w:r>
    </w:p>
    <w:p w14:paraId="64654FC6" w14:textId="77777777" w:rsidR="0028403B" w:rsidRPr="00EB675D" w:rsidRDefault="0028403B" w:rsidP="00EB675D">
      <w:pPr>
        <w:spacing w:after="0" w:line="240" w:lineRule="auto"/>
        <w:ind w:left="357"/>
        <w:jc w:val="both"/>
        <w:rPr>
          <w:rFonts w:eastAsia="Times New Roman" w:cstheme="minorHAnsi"/>
          <w:b/>
          <w:bCs/>
          <w:u w:val="single"/>
          <w:lang w:val="en-SG"/>
        </w:rPr>
      </w:pPr>
    </w:p>
    <w:p w14:paraId="73C2D5FA" w14:textId="09C55535" w:rsidR="00B62FFD" w:rsidRPr="00EB675D" w:rsidRDefault="009E6883" w:rsidP="001E6213">
      <w:pPr>
        <w:pStyle w:val="Heading1"/>
        <w:rPr>
          <w:bCs/>
          <w:u w:val="single"/>
        </w:rPr>
      </w:pPr>
      <w:bookmarkStart w:id="20" w:name="_Toc194937389"/>
      <w:r w:rsidRPr="00EB675D">
        <w:t xml:space="preserve">Regulation of other crypto-related activities </w:t>
      </w:r>
      <w:r w:rsidR="00DD2CD2" w:rsidRPr="00EB675D">
        <w:t xml:space="preserve">in </w:t>
      </w:r>
      <w:r w:rsidR="00314D4A" w:rsidRPr="00EB675D">
        <w:t>Dubai (UAE)</w:t>
      </w:r>
      <w:bookmarkEnd w:id="20"/>
    </w:p>
    <w:p w14:paraId="5BEE6719" w14:textId="77777777" w:rsidR="00AC3F77" w:rsidRPr="00EB675D" w:rsidRDefault="00AC3F77" w:rsidP="00EB675D">
      <w:pPr>
        <w:spacing w:after="0" w:line="240" w:lineRule="auto"/>
        <w:jc w:val="both"/>
        <w:rPr>
          <w:rFonts w:eastAsia="Times New Roman" w:cstheme="minorHAnsi"/>
          <w:b/>
          <w:bCs/>
          <w:u w:val="single"/>
          <w:lang w:val="en-SG"/>
        </w:rPr>
      </w:pPr>
    </w:p>
    <w:p w14:paraId="76C872C9" w14:textId="148BC3D5" w:rsidR="00F32174" w:rsidRPr="00EB675D" w:rsidRDefault="00F32174" w:rsidP="001E6213">
      <w:pPr>
        <w:pStyle w:val="Heading2"/>
      </w:pPr>
      <w:bookmarkStart w:id="21" w:name="_Toc194937390"/>
      <w:r w:rsidRPr="00EB675D">
        <w:t xml:space="preserve">Are managers of crypto funds regulated in </w:t>
      </w:r>
      <w:r w:rsidR="00314D4A" w:rsidRPr="00EB675D">
        <w:t>Dubai (UAE)</w:t>
      </w:r>
      <w:r w:rsidRPr="00EB675D">
        <w:t>?</w:t>
      </w:r>
      <w:bookmarkEnd w:id="21"/>
      <w:r w:rsidRPr="00EB675D">
        <w:t xml:space="preserve"> </w:t>
      </w:r>
    </w:p>
    <w:p w14:paraId="02E88541" w14:textId="77777777" w:rsidR="00F32174" w:rsidRPr="00EB675D" w:rsidRDefault="00F32174" w:rsidP="00EB675D">
      <w:pPr>
        <w:spacing w:after="0" w:line="240" w:lineRule="auto"/>
        <w:ind w:left="360"/>
        <w:jc w:val="both"/>
        <w:rPr>
          <w:rFonts w:eastAsia="Times New Roman" w:cstheme="minorHAnsi"/>
          <w:lang w:val="en-SG"/>
        </w:rPr>
      </w:pPr>
    </w:p>
    <w:p w14:paraId="19946017"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According to Part IV of the Virtual Assets and Related Activities Regulations 2023, any virtual asset service provider that intends to carry out VA activities is required to obtain authorisation from the VARA and obtain the appropriate license. This includes managers of crypto funds. </w:t>
      </w:r>
    </w:p>
    <w:p w14:paraId="6C371258" w14:textId="77777777" w:rsidR="006D3929" w:rsidRPr="006D3929" w:rsidRDefault="006D3929" w:rsidP="00EB675D">
      <w:pPr>
        <w:spacing w:after="0" w:line="240" w:lineRule="auto"/>
        <w:ind w:left="360"/>
        <w:jc w:val="both"/>
        <w:rPr>
          <w:rFonts w:eastAsia="Times New Roman" w:cstheme="minorHAnsi"/>
        </w:rPr>
      </w:pPr>
    </w:p>
    <w:p w14:paraId="17C79875"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The licensing requirements include necessary documentation such as the application form, protocol on corporate governance, measures for identifying, preventing, and managing conflicts of interest, business plan, financial statements and any other information deemed relevant by VARA. These requirements may be different depending on the type of VA activities the manager intends to engage in such as management of funds. </w:t>
      </w:r>
    </w:p>
    <w:p w14:paraId="5F3075ED" w14:textId="77777777" w:rsidR="006D3929" w:rsidRPr="006D3929" w:rsidRDefault="006D3929" w:rsidP="00EB675D">
      <w:pPr>
        <w:spacing w:after="0" w:line="240" w:lineRule="auto"/>
        <w:ind w:left="360"/>
        <w:jc w:val="both"/>
        <w:rPr>
          <w:rFonts w:eastAsia="Times New Roman" w:cstheme="minorHAnsi"/>
        </w:rPr>
      </w:pPr>
    </w:p>
    <w:p w14:paraId="6128F27E"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VARA also has the power to grant licenses on conditions that it deems appropriate. These conditions may be adjusted over time depending on future circumstances. Additionally, VARA may revoke licenses at any time on various grounds such as non-compliance with the Virtual Assets and Related Activities Regulations or rules and directives issued by VARA. Such decisions are subject to an appeals process. </w:t>
      </w:r>
    </w:p>
    <w:p w14:paraId="7AEBAD1A" w14:textId="77777777" w:rsidR="006D3929" w:rsidRPr="006D3929" w:rsidRDefault="006D3929" w:rsidP="00EB675D">
      <w:pPr>
        <w:spacing w:after="0" w:line="240" w:lineRule="auto"/>
        <w:ind w:left="360"/>
        <w:jc w:val="both"/>
        <w:rPr>
          <w:rFonts w:eastAsia="Times New Roman" w:cstheme="minorHAnsi"/>
        </w:rPr>
      </w:pPr>
    </w:p>
    <w:p w14:paraId="3E5CBCC6"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It is important to note that all VASPs, including managers of crypto funds, are subject to the same AML and CFT obligations and regulations as traditional financial businesses. </w:t>
      </w:r>
    </w:p>
    <w:p w14:paraId="23AB98AF" w14:textId="77777777" w:rsidR="00E538DF" w:rsidRPr="00EB675D" w:rsidRDefault="00E538DF" w:rsidP="00EB675D">
      <w:pPr>
        <w:spacing w:after="0" w:line="240" w:lineRule="auto"/>
        <w:jc w:val="both"/>
        <w:rPr>
          <w:rFonts w:eastAsia="Times New Roman" w:cstheme="minorHAnsi"/>
          <w:b/>
          <w:bCs/>
          <w:u w:val="single"/>
          <w:lang w:val="en-SG"/>
        </w:rPr>
      </w:pPr>
    </w:p>
    <w:p w14:paraId="54DE0805" w14:textId="1BAFC9E0" w:rsidR="00B62FFD" w:rsidRPr="00EB675D" w:rsidRDefault="009E6883" w:rsidP="001E6213">
      <w:pPr>
        <w:pStyle w:val="Heading2"/>
      </w:pPr>
      <w:bookmarkStart w:id="22" w:name="_Toc194937391"/>
      <w:r w:rsidRPr="00EB675D">
        <w:t xml:space="preserve">Are distributors of virtual asset funds regulated </w:t>
      </w:r>
      <w:r w:rsidR="00DD2CD2" w:rsidRPr="00EB675D">
        <w:t xml:space="preserve">in </w:t>
      </w:r>
      <w:r w:rsidR="00314D4A" w:rsidRPr="00EB675D">
        <w:t>Dubai (UAE)</w:t>
      </w:r>
      <w:r w:rsidRPr="00EB675D">
        <w:t>?</w:t>
      </w:r>
      <w:bookmarkEnd w:id="22"/>
    </w:p>
    <w:p w14:paraId="244ED14D" w14:textId="77777777" w:rsidR="00AC3F77" w:rsidRPr="00EB675D" w:rsidRDefault="00AC3F77" w:rsidP="00EB675D">
      <w:pPr>
        <w:spacing w:after="0" w:line="240" w:lineRule="auto"/>
        <w:ind w:left="360"/>
        <w:jc w:val="both"/>
        <w:rPr>
          <w:rFonts w:eastAsia="Times New Roman" w:cstheme="minorHAnsi"/>
          <w:b/>
          <w:bCs/>
          <w:u w:val="single"/>
          <w:lang w:val="en-SG"/>
        </w:rPr>
      </w:pPr>
    </w:p>
    <w:p w14:paraId="5388AFB1"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Distributors of virtual asset funds are regulated in Dubai. According to the Virtual Assets and Related Activities Regulations 2023, any person or entity who intends to carry out any virtual asset-related activity in or from Dubai, including the distribution of virtual asset funds, must be authorised by the VARA. </w:t>
      </w:r>
    </w:p>
    <w:p w14:paraId="5165899E" w14:textId="77777777" w:rsidR="00707E46" w:rsidRPr="00707E46" w:rsidRDefault="00707E46" w:rsidP="00EB675D">
      <w:pPr>
        <w:spacing w:after="0" w:line="240" w:lineRule="auto"/>
        <w:ind w:left="360"/>
        <w:jc w:val="both"/>
        <w:rPr>
          <w:rFonts w:eastAsia="Times New Roman" w:cstheme="minorHAnsi"/>
        </w:rPr>
      </w:pPr>
    </w:p>
    <w:p w14:paraId="3DC8FB0C"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Such distributors must obtain the appropriate license from VARA and comply with all the relevant regulations and rules. Furthermore, VARA may revoke or suspend licenses at any time for non-compliance with the regulations, rules, and directives issued by VARA.</w:t>
      </w:r>
    </w:p>
    <w:p w14:paraId="01A75EDF" w14:textId="77777777" w:rsidR="00707E46" w:rsidRPr="00707E46" w:rsidRDefault="00707E46" w:rsidP="00EB675D">
      <w:pPr>
        <w:spacing w:after="0" w:line="240" w:lineRule="auto"/>
        <w:ind w:left="360"/>
        <w:jc w:val="both"/>
        <w:rPr>
          <w:rFonts w:eastAsia="Times New Roman" w:cstheme="minorHAnsi"/>
        </w:rPr>
      </w:pPr>
    </w:p>
    <w:p w14:paraId="6253C024"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AML/CFT Obligations of </w:t>
      </w:r>
      <w:proofErr w:type="gramStart"/>
      <w:r w:rsidRPr="00707E46">
        <w:rPr>
          <w:rFonts w:eastAsia="Times New Roman" w:cstheme="minorHAnsi"/>
        </w:rPr>
        <w:t>VASPs,</w:t>
      </w:r>
      <w:proofErr w:type="gramEnd"/>
      <w:r w:rsidRPr="00707E46">
        <w:rPr>
          <w:rFonts w:eastAsia="Times New Roman" w:cstheme="minorHAnsi"/>
        </w:rPr>
        <w:t xml:space="preserve"> provides general AML/CFT requirements applicable to all Virtual Asset Service Providers, including those who distribute virtual asset funds. The regulations specify the requirements for Customer Due Diligence (</w:t>
      </w:r>
      <w:r w:rsidRPr="00707E46">
        <w:rPr>
          <w:rFonts w:eastAsia="Times New Roman" w:cstheme="minorHAnsi"/>
          <w:b/>
          <w:bCs/>
        </w:rPr>
        <w:t>CDD</w:t>
      </w:r>
      <w:r w:rsidRPr="00707E46">
        <w:rPr>
          <w:rFonts w:eastAsia="Times New Roman" w:cstheme="minorHAnsi"/>
        </w:rPr>
        <w:t>), Enhanced Due Diligence (</w:t>
      </w:r>
      <w:r w:rsidRPr="00707E46">
        <w:rPr>
          <w:rFonts w:eastAsia="Times New Roman" w:cstheme="minorHAnsi"/>
          <w:b/>
          <w:bCs/>
        </w:rPr>
        <w:t>EDD</w:t>
      </w:r>
      <w:r w:rsidRPr="00707E46">
        <w:rPr>
          <w:rFonts w:eastAsia="Times New Roman" w:cstheme="minorHAnsi"/>
        </w:rPr>
        <w:t xml:space="preserve">), record-keeping, and reporting. </w:t>
      </w:r>
    </w:p>
    <w:p w14:paraId="50A39729" w14:textId="77777777" w:rsidR="00707E46" w:rsidRPr="00707E46" w:rsidRDefault="00707E46" w:rsidP="00EB675D">
      <w:pPr>
        <w:spacing w:after="0" w:line="240" w:lineRule="auto"/>
        <w:ind w:left="360"/>
        <w:jc w:val="both"/>
        <w:rPr>
          <w:rFonts w:eastAsia="Times New Roman" w:cstheme="minorHAnsi"/>
        </w:rPr>
      </w:pPr>
    </w:p>
    <w:p w14:paraId="41FF1B8A"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Additionally, Marketing, Advertising or </w:t>
      </w:r>
      <w:proofErr w:type="gramStart"/>
      <w:r w:rsidRPr="00707E46">
        <w:rPr>
          <w:rFonts w:eastAsia="Times New Roman" w:cstheme="minorHAnsi"/>
        </w:rPr>
        <w:t>Promotion,</w:t>
      </w:r>
      <w:proofErr w:type="gramEnd"/>
      <w:r w:rsidRPr="00707E46">
        <w:rPr>
          <w:rFonts w:eastAsia="Times New Roman" w:cstheme="minorHAnsi"/>
        </w:rPr>
        <w:t xml:space="preserve"> sets out </w:t>
      </w:r>
      <w:proofErr w:type="gramStart"/>
      <w:r w:rsidRPr="00707E46">
        <w:rPr>
          <w:rFonts w:eastAsia="Times New Roman" w:cstheme="minorHAnsi"/>
        </w:rPr>
        <w:t>the regulations</w:t>
      </w:r>
      <w:proofErr w:type="gramEnd"/>
      <w:r w:rsidRPr="00707E46">
        <w:rPr>
          <w:rFonts w:eastAsia="Times New Roman" w:cstheme="minorHAnsi"/>
        </w:rPr>
        <w:t xml:space="preserve"> for marketing virtual asset funds. It specifies that any marketing material aimed at retail investors should disclose clear and concise information about the risks involved. </w:t>
      </w:r>
    </w:p>
    <w:p w14:paraId="0379DDAE" w14:textId="77777777" w:rsidR="00707E46" w:rsidRPr="00707E46" w:rsidRDefault="00707E46" w:rsidP="00EB675D">
      <w:pPr>
        <w:spacing w:after="0" w:line="240" w:lineRule="auto"/>
        <w:ind w:left="360"/>
        <w:jc w:val="both"/>
        <w:rPr>
          <w:rFonts w:eastAsia="Times New Roman" w:cstheme="minorHAnsi"/>
        </w:rPr>
      </w:pPr>
    </w:p>
    <w:p w14:paraId="72D05DA3"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Moreover, if a virtual asset fund distributor offers advisory services for virtual assets, they would be required to comply with the Advisory Services Rulebook. Similarly, if they offer custody services for virtual assets, they </w:t>
      </w:r>
      <w:proofErr w:type="gramStart"/>
      <w:r w:rsidRPr="00707E46">
        <w:rPr>
          <w:rFonts w:eastAsia="Times New Roman" w:cstheme="minorHAnsi"/>
        </w:rPr>
        <w:t>would</w:t>
      </w:r>
      <w:proofErr w:type="gramEnd"/>
      <w:r w:rsidRPr="00707E46">
        <w:rPr>
          <w:rFonts w:eastAsia="Times New Roman" w:cstheme="minorHAnsi"/>
        </w:rPr>
        <w:t xml:space="preserve"> need to comply with the Custody Services Rulebook. Each VA Activity Rulebook specifies the requirements that VASPs need to comply with when offering that </w:t>
      </w:r>
      <w:proofErr w:type="gramStart"/>
      <w:r w:rsidRPr="00707E46">
        <w:rPr>
          <w:rFonts w:eastAsia="Times New Roman" w:cstheme="minorHAnsi"/>
        </w:rPr>
        <w:t>particular VA</w:t>
      </w:r>
      <w:proofErr w:type="gramEnd"/>
      <w:r w:rsidRPr="00707E46">
        <w:rPr>
          <w:rFonts w:eastAsia="Times New Roman" w:cstheme="minorHAnsi"/>
        </w:rPr>
        <w:t xml:space="preserve"> Activity.</w:t>
      </w:r>
    </w:p>
    <w:p w14:paraId="362A4B84" w14:textId="77777777" w:rsidR="00707E46" w:rsidRPr="00707E46" w:rsidRDefault="00707E46" w:rsidP="00EB675D">
      <w:pPr>
        <w:spacing w:after="0" w:line="240" w:lineRule="auto"/>
        <w:ind w:left="360"/>
        <w:jc w:val="both"/>
        <w:rPr>
          <w:rFonts w:eastAsia="Times New Roman" w:cstheme="minorHAnsi"/>
        </w:rPr>
      </w:pPr>
    </w:p>
    <w:p w14:paraId="1C7CA7D8" w14:textId="680A49B7" w:rsidR="0080783A" w:rsidRPr="00EB675D" w:rsidRDefault="00707E46" w:rsidP="00EB675D">
      <w:pPr>
        <w:spacing w:after="0" w:line="240" w:lineRule="auto"/>
        <w:ind w:left="360"/>
        <w:jc w:val="both"/>
        <w:rPr>
          <w:rFonts w:eastAsia="Times New Roman" w:cstheme="minorHAnsi"/>
        </w:rPr>
      </w:pPr>
      <w:r w:rsidRPr="00707E46">
        <w:rPr>
          <w:rFonts w:eastAsia="Times New Roman" w:cstheme="minorHAnsi"/>
        </w:rPr>
        <w:lastRenderedPageBreak/>
        <w:t>Therefore, distributors of virtual asset funds are required to comply with all the relevant regulations and rules, including obtaining the appropriate license from the VARA, complying with the AML/CFT obligations, and adhering to the marketing regulations.</w:t>
      </w:r>
    </w:p>
    <w:p w14:paraId="3C91BECC" w14:textId="77777777" w:rsidR="00F9672A" w:rsidRPr="00EB675D" w:rsidRDefault="00F9672A" w:rsidP="00EB675D">
      <w:pPr>
        <w:spacing w:after="0" w:line="240" w:lineRule="auto"/>
        <w:ind w:left="360"/>
        <w:jc w:val="both"/>
        <w:rPr>
          <w:rFonts w:eastAsia="Times New Roman" w:cstheme="minorHAnsi"/>
          <w:b/>
          <w:bCs/>
          <w:u w:val="single"/>
          <w:lang w:val="en-SG"/>
        </w:rPr>
      </w:pPr>
    </w:p>
    <w:p w14:paraId="617CA107" w14:textId="5860951F" w:rsidR="00B62FFD" w:rsidRPr="00EB675D" w:rsidRDefault="009E6883" w:rsidP="001E6213">
      <w:pPr>
        <w:pStyle w:val="Heading2"/>
      </w:pPr>
      <w:bookmarkStart w:id="23" w:name="_Toc194937392"/>
      <w:r w:rsidRPr="00EB675D">
        <w:t xml:space="preserve">Are there requirements for intermediaries seeking to provide trading in virtual assets for clients or advise clients on virtual assets </w:t>
      </w:r>
      <w:r w:rsidR="00DD2CD2" w:rsidRPr="00EB675D">
        <w:t xml:space="preserve">in </w:t>
      </w:r>
      <w:r w:rsidR="00314D4A" w:rsidRPr="00EB675D">
        <w:t>Dubai (UAE)</w:t>
      </w:r>
      <w:r w:rsidRPr="00EB675D">
        <w:t>?</w:t>
      </w:r>
      <w:bookmarkEnd w:id="23"/>
    </w:p>
    <w:p w14:paraId="2AB5F457" w14:textId="77777777" w:rsidR="00137D30" w:rsidRPr="00EB675D" w:rsidRDefault="00137D30" w:rsidP="00EB675D">
      <w:pPr>
        <w:spacing w:after="0" w:line="240" w:lineRule="auto"/>
        <w:ind w:left="360"/>
        <w:jc w:val="both"/>
        <w:rPr>
          <w:rFonts w:eastAsia="Times New Roman" w:cstheme="minorHAnsi"/>
          <w:b/>
          <w:bCs/>
          <w:u w:val="single"/>
          <w:lang w:val="en-SG"/>
        </w:rPr>
      </w:pPr>
    </w:p>
    <w:p w14:paraId="031E855A" w14:textId="77777777" w:rsidR="00B76AC4" w:rsidRPr="00EB675D" w:rsidRDefault="00B76AC4" w:rsidP="00EB675D">
      <w:pPr>
        <w:spacing w:after="0" w:line="240" w:lineRule="auto"/>
        <w:ind w:left="360"/>
        <w:jc w:val="both"/>
        <w:rPr>
          <w:rFonts w:eastAsia="Times New Roman" w:cstheme="minorHAnsi"/>
        </w:rPr>
      </w:pPr>
      <w:r w:rsidRPr="00B76AC4">
        <w:rPr>
          <w:rFonts w:eastAsia="Times New Roman" w:cstheme="minorHAnsi"/>
        </w:rPr>
        <w:t>In Dubai, intermediaries engaging in virtual asset-related activities must adhere to the Virtual Assets and Related Activities Regulations 2023 and the Exchange Services Rulebook issued by the Dubai VARA. The regulations mandate licensing, compliance with specific rulebooks, and adherence to anti-money laundering and counter-financing of terrorism requirements. The Exchange Services Rulebook outlines obligations related to board governance, remuneration reporting, internal policies, public disclosures, code of conduct, market surveillance, and prudential requirements for margin trading.</w:t>
      </w:r>
    </w:p>
    <w:p w14:paraId="19A5B6BA" w14:textId="77777777" w:rsidR="00B76AC4" w:rsidRPr="00B76AC4" w:rsidRDefault="00B76AC4" w:rsidP="00EB675D">
      <w:pPr>
        <w:spacing w:after="0" w:line="240" w:lineRule="auto"/>
        <w:ind w:left="360"/>
        <w:jc w:val="both"/>
        <w:rPr>
          <w:rFonts w:eastAsia="Times New Roman" w:cstheme="minorHAnsi"/>
        </w:rPr>
      </w:pPr>
    </w:p>
    <w:p w14:paraId="44EE90F9" w14:textId="77777777" w:rsidR="00B76AC4" w:rsidRPr="00EB675D"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Virtual Assets and Related Activities Regulations 2023:</w:t>
      </w:r>
    </w:p>
    <w:p w14:paraId="7F1EFAD6" w14:textId="77777777" w:rsidR="00B76AC4" w:rsidRPr="00B76AC4" w:rsidRDefault="00B76AC4" w:rsidP="00EB675D">
      <w:pPr>
        <w:spacing w:after="0" w:line="240" w:lineRule="auto"/>
        <w:ind w:left="1080"/>
        <w:jc w:val="both"/>
        <w:rPr>
          <w:rFonts w:eastAsia="Times New Roman" w:cstheme="minorHAnsi"/>
        </w:rPr>
      </w:pPr>
    </w:p>
    <w:p w14:paraId="0F3C6F64"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Licensing Requirement</w:t>
      </w:r>
      <w:r w:rsidRPr="00B76AC4">
        <w:rPr>
          <w:rFonts w:eastAsia="Times New Roman" w:cstheme="minorHAnsi"/>
        </w:rPr>
        <w:t>: Intermediaries intending to engage in virtual asset-related activities, including trading and advisory services, must secure a license from the VARA under the Virtual Assets and Related Activities Regulations 2023.</w:t>
      </w:r>
    </w:p>
    <w:p w14:paraId="1C8A0521" w14:textId="77777777" w:rsidR="00B76AC4" w:rsidRPr="00B76AC4" w:rsidRDefault="00B76AC4" w:rsidP="00EB675D">
      <w:pPr>
        <w:spacing w:after="0" w:line="240" w:lineRule="auto"/>
        <w:ind w:left="360"/>
        <w:jc w:val="both"/>
        <w:rPr>
          <w:rFonts w:eastAsia="Times New Roman" w:cstheme="minorHAnsi"/>
        </w:rPr>
      </w:pPr>
    </w:p>
    <w:p w14:paraId="75F3867F"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Compliance with VA Activity Rulebooks</w:t>
      </w:r>
      <w:r w:rsidRPr="00B76AC4">
        <w:rPr>
          <w:rFonts w:eastAsia="Times New Roman" w:cstheme="minorHAnsi"/>
        </w:rPr>
        <w:t>: For trading activities, intermediaries must adhere to the VA Activity Rulebook for Exchange Services, and for advisory services, compliance with the VA Activity Rulebook for Advisory Services is mandatory. These rulebooks detail specific requirements and standards for each type of activity.</w:t>
      </w:r>
    </w:p>
    <w:p w14:paraId="1A7BA93B" w14:textId="77777777" w:rsidR="00B76AC4" w:rsidRPr="00B76AC4" w:rsidRDefault="00B76AC4" w:rsidP="00EB675D">
      <w:pPr>
        <w:spacing w:after="0" w:line="240" w:lineRule="auto"/>
        <w:ind w:left="360"/>
        <w:jc w:val="both"/>
        <w:rPr>
          <w:rFonts w:eastAsia="Times New Roman" w:cstheme="minorHAnsi"/>
        </w:rPr>
      </w:pPr>
    </w:p>
    <w:p w14:paraId="1517EFEA"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AML/CFT Requirements</w:t>
      </w:r>
      <w:r w:rsidRPr="00B76AC4">
        <w:rPr>
          <w:rFonts w:eastAsia="Times New Roman" w:cstheme="minorHAnsi"/>
        </w:rPr>
        <w:t>: Intermediaries are obligated to follow AML and CFT requirements explained in Regulation VI of the Virtual Assets and Related Activities Regulations 2023. This includes conducting thorough customer due diligence, monitoring transactions for suspicious activities, and maintaining proper record-keeping.</w:t>
      </w:r>
    </w:p>
    <w:p w14:paraId="525B8F51" w14:textId="77777777" w:rsidR="00B76AC4" w:rsidRPr="00B76AC4" w:rsidRDefault="00B76AC4" w:rsidP="00EB675D">
      <w:pPr>
        <w:spacing w:after="0" w:line="240" w:lineRule="auto"/>
        <w:ind w:left="360"/>
        <w:jc w:val="both"/>
        <w:rPr>
          <w:rFonts w:eastAsia="Times New Roman" w:cstheme="minorHAnsi"/>
        </w:rPr>
      </w:pPr>
    </w:p>
    <w:p w14:paraId="1D95EFD1" w14:textId="77777777" w:rsidR="00B76AC4" w:rsidRPr="00B76AC4"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Exchange Services Rulebook</w:t>
      </w:r>
      <w:r w:rsidRPr="00B76AC4">
        <w:rPr>
          <w:rFonts w:eastAsia="Times New Roman" w:cstheme="minorHAnsi"/>
        </w:rPr>
        <w:t>: Intermediaries must comply with the Exchange Services Rulebook, which outlines specific guidelines for trading venues, settlement, delivery, clearing, and measures for prohibiting, detecting, preventing, and deterring market offenses and abusive practices.</w:t>
      </w:r>
    </w:p>
    <w:p w14:paraId="1C1DF327" w14:textId="77777777" w:rsidR="00B76AC4" w:rsidRPr="00B76AC4" w:rsidRDefault="00B76AC4" w:rsidP="00EB675D">
      <w:pPr>
        <w:spacing w:after="0" w:line="240" w:lineRule="auto"/>
        <w:ind w:left="360"/>
        <w:jc w:val="both"/>
        <w:rPr>
          <w:rFonts w:eastAsia="Times New Roman" w:cstheme="minorHAnsi"/>
        </w:rPr>
      </w:pPr>
    </w:p>
    <w:p w14:paraId="4405EAEC"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Governance</w:t>
      </w:r>
      <w:r w:rsidRPr="00B76AC4">
        <w:rPr>
          <w:rFonts w:eastAsia="Times New Roman" w:cstheme="minorHAnsi"/>
        </w:rPr>
        <w:t>: The Exchange Services Rulebook emphasises the importance of appropriate board composition and committees for good governance within VASPs. This ensures effective oversight and management of virtual asset exchange activities.</w:t>
      </w:r>
    </w:p>
    <w:p w14:paraId="32122BB6" w14:textId="77777777" w:rsidR="00B76AC4" w:rsidRPr="00B76AC4" w:rsidRDefault="00B76AC4" w:rsidP="00EB675D">
      <w:pPr>
        <w:spacing w:after="0" w:line="240" w:lineRule="auto"/>
        <w:ind w:left="1080"/>
        <w:jc w:val="both"/>
        <w:rPr>
          <w:rFonts w:eastAsia="Times New Roman" w:cstheme="minorHAnsi"/>
        </w:rPr>
      </w:pPr>
    </w:p>
    <w:p w14:paraId="7E23C5F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Remuneration Reporting</w:t>
      </w:r>
      <w:r w:rsidRPr="00B76AC4">
        <w:rPr>
          <w:rFonts w:eastAsia="Times New Roman" w:cstheme="minorHAnsi"/>
        </w:rPr>
        <w:t>: VASPs must implement board remuneration reporting requirements, aligning with relevant laws and regulations in Dubai. This involves transparent reporting of board members' remuneration, contributing to accountability and disclosure.</w:t>
      </w:r>
    </w:p>
    <w:p w14:paraId="3D6FC285" w14:textId="77777777" w:rsidR="00B76AC4" w:rsidRPr="00B76AC4" w:rsidRDefault="00B76AC4" w:rsidP="00EB675D">
      <w:pPr>
        <w:spacing w:after="0" w:line="240" w:lineRule="auto"/>
        <w:ind w:left="1080"/>
        <w:jc w:val="both"/>
        <w:rPr>
          <w:rFonts w:eastAsia="Times New Roman" w:cstheme="minorHAnsi"/>
        </w:rPr>
      </w:pPr>
    </w:p>
    <w:p w14:paraId="03863DF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Internal Policies and Procedures</w:t>
      </w:r>
      <w:r w:rsidRPr="00B76AC4">
        <w:rPr>
          <w:rFonts w:eastAsia="Times New Roman" w:cstheme="minorHAnsi"/>
        </w:rPr>
        <w:t xml:space="preserve">: Intermediaries providing exchange services must establish, implement, and enforce written internal policies and procedures. These cover various aspects, including the prohibition, detection, prevention, and deterrence of </w:t>
      </w:r>
      <w:r w:rsidRPr="00B76AC4">
        <w:rPr>
          <w:rFonts w:eastAsia="Times New Roman" w:cstheme="minorHAnsi"/>
        </w:rPr>
        <w:lastRenderedPageBreak/>
        <w:t>market offenses, settlement, delivery and clearing processes, fees, and margin trading rules.</w:t>
      </w:r>
    </w:p>
    <w:p w14:paraId="5003D172" w14:textId="77777777" w:rsidR="00B76AC4" w:rsidRPr="00B76AC4" w:rsidRDefault="00B76AC4" w:rsidP="00EB675D">
      <w:pPr>
        <w:spacing w:after="0" w:line="240" w:lineRule="auto"/>
        <w:ind w:left="1080"/>
        <w:jc w:val="both"/>
        <w:rPr>
          <w:rFonts w:eastAsia="Times New Roman" w:cstheme="minorHAnsi"/>
        </w:rPr>
      </w:pPr>
    </w:p>
    <w:p w14:paraId="3D86DC6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Public Disclosures</w:t>
      </w:r>
      <w:r w:rsidRPr="00B76AC4">
        <w:rPr>
          <w:rFonts w:eastAsia="Times New Roman" w:cstheme="minorHAnsi"/>
        </w:rPr>
        <w:t>: VASPs offering exchange services are required to publish specific information about each virtual asset on their website. This includes details such as the virtual asset's name, symbol, issuance date, market capitalisation, fully diluted value, circulating supply, and whether it has undergone an independent smart contract audit.</w:t>
      </w:r>
    </w:p>
    <w:p w14:paraId="79C23B06" w14:textId="77777777" w:rsidR="00B76AC4" w:rsidRPr="00B76AC4" w:rsidRDefault="00B76AC4" w:rsidP="00EB675D">
      <w:pPr>
        <w:spacing w:after="0" w:line="240" w:lineRule="auto"/>
        <w:ind w:left="1080"/>
        <w:jc w:val="both"/>
        <w:rPr>
          <w:rFonts w:eastAsia="Times New Roman" w:cstheme="minorHAnsi"/>
        </w:rPr>
      </w:pPr>
    </w:p>
    <w:p w14:paraId="2B5F4CB1"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Code of Conduct</w:t>
      </w:r>
      <w:r w:rsidRPr="00B76AC4">
        <w:rPr>
          <w:rFonts w:eastAsia="Times New Roman" w:cstheme="minorHAnsi"/>
        </w:rPr>
        <w:t>: VASPs must develop and enforce a code of conduct or other rules governing the behavior of all participants on their trading venue. This ensures fair and ethical practices among individuals interacting within the virtual asset exchange ecosystem.</w:t>
      </w:r>
    </w:p>
    <w:p w14:paraId="020DF15B" w14:textId="77777777" w:rsidR="00B76AC4" w:rsidRPr="00B76AC4" w:rsidRDefault="00B76AC4" w:rsidP="00EB675D">
      <w:pPr>
        <w:spacing w:after="0" w:line="240" w:lineRule="auto"/>
        <w:ind w:left="1080"/>
        <w:jc w:val="both"/>
        <w:rPr>
          <w:rFonts w:eastAsia="Times New Roman" w:cstheme="minorHAnsi"/>
        </w:rPr>
      </w:pPr>
    </w:p>
    <w:p w14:paraId="6BF0D55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Market Surveillance</w:t>
      </w:r>
      <w:r w:rsidRPr="00B76AC4">
        <w:rPr>
          <w:rFonts w:eastAsia="Times New Roman" w:cstheme="minorHAnsi"/>
        </w:rPr>
        <w:t>: Policies and procedures for market surveillance are crucial for VASPs. These include mechanisms to detect and prevent market abuse, with an obligation to notify VARA in cases where potential abuse affecting the market is suspected.</w:t>
      </w:r>
    </w:p>
    <w:p w14:paraId="113688E4" w14:textId="77777777" w:rsidR="00B76AC4" w:rsidRPr="00B76AC4" w:rsidRDefault="00B76AC4" w:rsidP="00EB675D">
      <w:pPr>
        <w:spacing w:after="0" w:line="240" w:lineRule="auto"/>
        <w:ind w:left="1080"/>
        <w:jc w:val="both"/>
        <w:rPr>
          <w:rFonts w:eastAsia="Times New Roman" w:cstheme="minorHAnsi"/>
        </w:rPr>
      </w:pPr>
    </w:p>
    <w:p w14:paraId="3068D762" w14:textId="582CBBE4" w:rsidR="00B76AC4" w:rsidRPr="00EB675D"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Prudential Requirements for Margin Trading</w:t>
      </w:r>
      <w:r w:rsidRPr="00B76AC4">
        <w:rPr>
          <w:rFonts w:eastAsia="Times New Roman" w:cstheme="minorHAnsi"/>
        </w:rPr>
        <w:t>: When providing Margin Trading services, VASPs must adhere to prudential requirements, initial margin, and maintenance margin. These measures contribute to the stability and integrity of margin trading activities.</w:t>
      </w:r>
    </w:p>
    <w:p w14:paraId="3E455EAB" w14:textId="77777777" w:rsidR="00B76AC4" w:rsidRPr="00EB675D" w:rsidRDefault="00B76AC4" w:rsidP="00EB675D">
      <w:pPr>
        <w:spacing w:after="0" w:line="240" w:lineRule="auto"/>
        <w:ind w:left="720"/>
        <w:jc w:val="both"/>
        <w:rPr>
          <w:rFonts w:eastAsia="Times New Roman" w:cstheme="minorHAnsi"/>
        </w:rPr>
      </w:pPr>
    </w:p>
    <w:p w14:paraId="00A8CD4B" w14:textId="6D7C2D8B" w:rsidR="0028403B" w:rsidRPr="00EB675D" w:rsidRDefault="00B76AC4" w:rsidP="00EB675D">
      <w:pPr>
        <w:numPr>
          <w:ilvl w:val="0"/>
          <w:numId w:val="188"/>
        </w:numPr>
        <w:spacing w:after="0" w:line="240" w:lineRule="auto"/>
        <w:ind w:left="1440"/>
        <w:jc w:val="both"/>
        <w:rPr>
          <w:rFonts w:eastAsia="Times New Roman" w:cstheme="minorHAnsi"/>
        </w:rPr>
      </w:pPr>
      <w:r w:rsidRPr="00EB675D">
        <w:rPr>
          <w:rFonts w:eastAsia="Times New Roman" w:cstheme="minorHAnsi"/>
          <w:u w:val="single"/>
        </w:rPr>
        <w:t>Margin Trading Agreement</w:t>
      </w:r>
      <w:r w:rsidRPr="00EB675D">
        <w:rPr>
          <w:rFonts w:eastAsia="Times New Roman" w:cstheme="minorHAnsi"/>
        </w:rPr>
        <w:t xml:space="preserve">: The Margin Trading Agreement between </w:t>
      </w:r>
      <w:proofErr w:type="gramStart"/>
      <w:r w:rsidRPr="00EB675D">
        <w:rPr>
          <w:rFonts w:eastAsia="Times New Roman" w:cstheme="minorHAnsi"/>
        </w:rPr>
        <w:t>the VASP</w:t>
      </w:r>
      <w:proofErr w:type="gramEnd"/>
      <w:r w:rsidRPr="00EB675D">
        <w:rPr>
          <w:rFonts w:eastAsia="Times New Roman" w:cstheme="minorHAnsi"/>
        </w:rPr>
        <w:t xml:space="preserve"> and the client must encompass essential elements. This includes responsibilities, termination rights, the effect of termination, applicable dispute resolution mechanisms, and the VASP's obligation to provide early warning notifications to the client. This agreement ensures clarity and protection for both parties involved in margin trading.</w:t>
      </w:r>
    </w:p>
    <w:p w14:paraId="552B8D58" w14:textId="77777777" w:rsidR="00F9672A" w:rsidRPr="00EB675D" w:rsidRDefault="00F9672A" w:rsidP="00EB675D">
      <w:pPr>
        <w:spacing w:after="0" w:line="240" w:lineRule="auto"/>
        <w:ind w:left="360"/>
        <w:jc w:val="both"/>
        <w:rPr>
          <w:rFonts w:eastAsia="Times New Roman" w:cstheme="minorHAnsi"/>
          <w:b/>
          <w:bCs/>
          <w:u w:val="single"/>
          <w:lang w:val="en-SG"/>
        </w:rPr>
      </w:pPr>
    </w:p>
    <w:p w14:paraId="0CD37C62" w14:textId="77777777" w:rsidR="00B62FFD" w:rsidRPr="00EB675D" w:rsidRDefault="009E6883" w:rsidP="001E6213">
      <w:pPr>
        <w:pStyle w:val="Heading1"/>
      </w:pPr>
      <w:bookmarkStart w:id="24" w:name="_Toc194937393"/>
      <w:r w:rsidRPr="00EB675D">
        <w:t>Other relevant regulatory information</w:t>
      </w:r>
      <w:bookmarkEnd w:id="24"/>
    </w:p>
    <w:p w14:paraId="54EF6ADB" w14:textId="77777777" w:rsidR="00AC3F77" w:rsidRPr="00EB675D" w:rsidRDefault="00AC3F77" w:rsidP="00EB675D">
      <w:pPr>
        <w:spacing w:after="0" w:line="240" w:lineRule="auto"/>
        <w:jc w:val="both"/>
        <w:rPr>
          <w:rFonts w:eastAsia="Times New Roman" w:cstheme="minorHAnsi"/>
          <w:b/>
          <w:lang w:val="en-SG"/>
        </w:rPr>
      </w:pPr>
    </w:p>
    <w:p w14:paraId="5D677053" w14:textId="65136303" w:rsidR="00B62FFD" w:rsidRPr="00EB675D" w:rsidRDefault="009E6883" w:rsidP="001E6213">
      <w:pPr>
        <w:pStyle w:val="Heading2"/>
      </w:pPr>
      <w:bookmarkStart w:id="25" w:name="_Toc194937394"/>
      <w:r w:rsidRPr="00EB675D">
        <w:t xml:space="preserve">Are there any upcoming regulatory developments in respect of crypto-related activity </w:t>
      </w:r>
      <w:r w:rsidR="00DD2CD2" w:rsidRPr="00EB675D">
        <w:t xml:space="preserve">in </w:t>
      </w:r>
      <w:r w:rsidR="00314D4A" w:rsidRPr="00EB675D">
        <w:t>Dubai (UAE)</w:t>
      </w:r>
      <w:r w:rsidRPr="00EB675D">
        <w:t>?</w:t>
      </w:r>
      <w:bookmarkEnd w:id="25"/>
    </w:p>
    <w:p w14:paraId="5B3C7C35" w14:textId="77777777" w:rsidR="00B36B1B" w:rsidRPr="00EB675D" w:rsidRDefault="00B36B1B" w:rsidP="00EB675D">
      <w:pPr>
        <w:spacing w:after="0" w:line="240" w:lineRule="auto"/>
        <w:ind w:left="360"/>
        <w:jc w:val="both"/>
        <w:rPr>
          <w:rFonts w:eastAsia="Times New Roman" w:cstheme="minorHAnsi"/>
        </w:rPr>
      </w:pPr>
    </w:p>
    <w:p w14:paraId="71EAF783"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As part of its ongoing efforts to manage the evolving landscape of digital assets, VARA is preparing to introduce several key regulatory updates. One of the most notable is the introduction of enhanced marketing and promotion regulations, which took effect on October 1, 2024. These new rules require that all marketing materials related to virtual assets be transparent, accurate, and not misleading. They also mandate that risk disclaimers must be prominently displayed, and any incentives offered in promotional campaigns must be clearly disclosed. This regulation is aimed at protecting consumers from the increasing risks associated with virtual asset investments and ensuring ethical marketing practices.</w:t>
      </w:r>
    </w:p>
    <w:p w14:paraId="2A23BD0E" w14:textId="77777777" w:rsidR="002B2F3E" w:rsidRPr="002B2F3E" w:rsidRDefault="002B2F3E" w:rsidP="00EB675D">
      <w:pPr>
        <w:spacing w:after="0" w:line="240" w:lineRule="auto"/>
        <w:ind w:left="360"/>
        <w:jc w:val="both"/>
        <w:rPr>
          <w:rFonts w:eastAsia="Times New Roman" w:cstheme="minorHAnsi"/>
        </w:rPr>
      </w:pPr>
    </w:p>
    <w:p w14:paraId="5E26402B"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focusing on regulating NFTs, especially as they become more integrated into </w:t>
      </w:r>
      <w:proofErr w:type="gramStart"/>
      <w:r w:rsidRPr="002B2F3E">
        <w:rPr>
          <w:rFonts w:eastAsia="Times New Roman" w:cstheme="minorHAnsi"/>
        </w:rPr>
        <w:t>the Metaverse</w:t>
      </w:r>
      <w:proofErr w:type="gramEnd"/>
      <w:r w:rsidRPr="002B2F3E">
        <w:rPr>
          <w:rFonts w:eastAsia="Times New Roman" w:cstheme="minorHAnsi"/>
        </w:rPr>
        <w:t>. Upcoming regulations will address security and compliance concerns surrounding NFTs, particularly in relation to cross-border transactions and the growing threat of cybercrime. Stricter KYC protocols are expected to be introduced for NFT platforms to ensure that user identities are properly verified. Additionally, AML/CFT measures will be strengthened to mitigate the risks associated with the blockchain-based transactions, which can be exploited for illicit activities such as money laundering.</w:t>
      </w:r>
    </w:p>
    <w:p w14:paraId="757FEF4F" w14:textId="77777777" w:rsidR="002B2F3E" w:rsidRPr="002B2F3E" w:rsidRDefault="002B2F3E" w:rsidP="00EB675D">
      <w:pPr>
        <w:spacing w:after="0" w:line="240" w:lineRule="auto"/>
        <w:ind w:left="360"/>
        <w:jc w:val="both"/>
        <w:rPr>
          <w:rFonts w:eastAsia="Times New Roman" w:cstheme="minorHAnsi"/>
        </w:rPr>
      </w:pPr>
    </w:p>
    <w:p w14:paraId="7C789AE4"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tightening its licensing requirements for all firms involved in crypto-related activities. Unauthorised and unlicensed entities will be prohibited from operating within Dubai’s virtual asset market, with stricter enforcement of these rules already underway. VARA has </w:t>
      </w:r>
      <w:proofErr w:type="gramStart"/>
      <w:r w:rsidRPr="002B2F3E">
        <w:rPr>
          <w:rFonts w:eastAsia="Times New Roman" w:cstheme="minorHAnsi"/>
        </w:rPr>
        <w:t>taken action</w:t>
      </w:r>
      <w:proofErr w:type="gramEnd"/>
      <w:r w:rsidRPr="002B2F3E">
        <w:rPr>
          <w:rFonts w:eastAsia="Times New Roman" w:cstheme="minorHAnsi"/>
        </w:rPr>
        <w:t xml:space="preserve"> by issuing cease-and-desist orders and imposing fines on companies that fail to comply with licensing requirements.</w:t>
      </w:r>
    </w:p>
    <w:p w14:paraId="6B2EEDC8" w14:textId="77777777" w:rsidR="002B2F3E" w:rsidRPr="002B2F3E" w:rsidRDefault="002B2F3E" w:rsidP="00EB675D">
      <w:pPr>
        <w:spacing w:after="0" w:line="240" w:lineRule="auto"/>
        <w:ind w:left="360"/>
        <w:jc w:val="both"/>
        <w:rPr>
          <w:rFonts w:eastAsia="Times New Roman" w:cstheme="minorHAnsi"/>
        </w:rPr>
      </w:pPr>
    </w:p>
    <w:p w14:paraId="0E83D0B9" w14:textId="39DB24E6" w:rsidR="002B2F3E" w:rsidRPr="00EB675D" w:rsidRDefault="002B2F3E" w:rsidP="00EB675D">
      <w:pPr>
        <w:spacing w:after="0" w:line="240" w:lineRule="auto"/>
        <w:ind w:left="360"/>
        <w:jc w:val="both"/>
        <w:rPr>
          <w:rFonts w:eastAsia="Times New Roman" w:cstheme="minorHAnsi"/>
        </w:rPr>
      </w:pPr>
      <w:r w:rsidRPr="00EB675D">
        <w:rPr>
          <w:rFonts w:eastAsia="Times New Roman" w:cstheme="minorHAnsi"/>
        </w:rPr>
        <w:t>In response to the global nature of the digital asset market, VARA is also working to align its regulatory framework with international standards, particularly in managing cross-border NFT transactions. This is essential as NFTs and other digital assets are frequently traded across jurisdictions with varying regulatory frameworks.</w:t>
      </w:r>
    </w:p>
    <w:p w14:paraId="15F83FEB" w14:textId="77777777" w:rsidR="0028403B" w:rsidRPr="00EB675D" w:rsidRDefault="0028403B" w:rsidP="00EB675D">
      <w:pPr>
        <w:spacing w:after="0" w:line="240" w:lineRule="auto"/>
        <w:ind w:left="360"/>
        <w:jc w:val="both"/>
        <w:rPr>
          <w:rFonts w:eastAsia="Times New Roman" w:cstheme="minorHAnsi"/>
          <w:b/>
          <w:bCs/>
          <w:u w:val="single"/>
          <w:lang w:val="en-SG"/>
        </w:rPr>
      </w:pPr>
    </w:p>
    <w:p w14:paraId="1B6032E5" w14:textId="769ED973" w:rsidR="00E538DF" w:rsidRPr="00EB675D" w:rsidRDefault="009E6883" w:rsidP="001E6213">
      <w:pPr>
        <w:pStyle w:val="Heading2"/>
      </w:pPr>
      <w:bookmarkStart w:id="26" w:name="_Toc194937395"/>
      <w:r w:rsidRPr="00EB675D">
        <w:t xml:space="preserve">Has there been any notable events </w:t>
      </w:r>
      <w:r w:rsidR="00DD2CD2" w:rsidRPr="00EB675D">
        <w:t xml:space="preserve">in </w:t>
      </w:r>
      <w:r w:rsidR="00314D4A" w:rsidRPr="00EB675D">
        <w:t>Dubai (UAE)</w:t>
      </w:r>
      <w:r w:rsidR="00AD22F5" w:rsidRPr="00EB675D">
        <w:t xml:space="preserve"> </w:t>
      </w:r>
      <w:r w:rsidRPr="00EB675D">
        <w:t>that has prompted regulatory change recently?</w:t>
      </w:r>
      <w:bookmarkEnd w:id="26"/>
    </w:p>
    <w:p w14:paraId="4A4B3125" w14:textId="77777777" w:rsidR="00B36B1B" w:rsidRPr="00EB675D" w:rsidRDefault="00B36B1B" w:rsidP="00EB675D">
      <w:pPr>
        <w:spacing w:after="0" w:line="240" w:lineRule="auto"/>
        <w:ind w:left="360"/>
        <w:jc w:val="both"/>
        <w:rPr>
          <w:rFonts w:eastAsia="Times New Roman" w:cstheme="minorHAnsi"/>
          <w:b/>
          <w:bCs/>
          <w:u w:val="single"/>
          <w:lang w:val="en-SG"/>
        </w:rPr>
      </w:pPr>
    </w:p>
    <w:p w14:paraId="7B0CDE66" w14:textId="415D0B5C"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Recent events in Dubai have led to significant regulatory changes in the crypto sector. One of the most notable actions has been the </w:t>
      </w:r>
      <w:hyperlink r:id="rId41" w:history="1">
        <w:r w:rsidRPr="002D002E">
          <w:rPr>
            <w:rStyle w:val="Hyperlink"/>
            <w:rFonts w:eastAsia="Times New Roman" w:cstheme="minorHAnsi"/>
            <w:color w:val="FF6E00"/>
            <w:u w:val="none"/>
          </w:rPr>
          <w:t>VARA cracking down on unauthorised firms</w:t>
        </w:r>
      </w:hyperlink>
      <w:r w:rsidRPr="002D002E">
        <w:rPr>
          <w:rFonts w:eastAsia="Times New Roman" w:cstheme="minorHAnsi"/>
        </w:rPr>
        <w:t xml:space="preserve"> operating in the crypto market. This crackdown is aimed at ensuring that all VASPs comply with the required licensing and marketing regulations.</w:t>
      </w:r>
    </w:p>
    <w:p w14:paraId="29BBD037" w14:textId="77777777" w:rsidR="002D002E" w:rsidRPr="002D002E" w:rsidRDefault="002D002E" w:rsidP="00EB675D">
      <w:pPr>
        <w:spacing w:after="0" w:line="240" w:lineRule="auto"/>
        <w:ind w:left="360"/>
        <w:jc w:val="both"/>
        <w:rPr>
          <w:rFonts w:eastAsia="Times New Roman" w:cstheme="minorHAnsi"/>
        </w:rPr>
      </w:pPr>
    </w:p>
    <w:p w14:paraId="37BCDBB4"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In October 2024, VARA took enforcement actions by issuing cease-and-desist orders and fining seven companies for operating without the necessary licenses. These fines ranged from AED 50,000 to AED 100,000 per company, depending on the severity of the violations. VARA emphasised that only licensed entities are allowed to offer virtual asset services in or from Dubai and warned the public about the risks of dealing with unlicensed firms. </w:t>
      </w:r>
    </w:p>
    <w:p w14:paraId="7E1C213E" w14:textId="77777777" w:rsidR="002D002E" w:rsidRPr="002D002E" w:rsidRDefault="002D002E" w:rsidP="00EB675D">
      <w:pPr>
        <w:spacing w:after="0" w:line="240" w:lineRule="auto"/>
        <w:ind w:left="360"/>
        <w:jc w:val="both"/>
        <w:rPr>
          <w:rFonts w:eastAsia="Times New Roman" w:cstheme="minorHAnsi"/>
        </w:rPr>
      </w:pPr>
    </w:p>
    <w:p w14:paraId="63454A8D"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On September 9, 2024, VARA, in collaboration with the SCA, introduced a new supervisory framework for virtual asset firms. This new framework aims to provide greater regulatory consistency across the UAE, allowing virtual asset firms to obtain a VARA license that also automatically grants them registration with the SCA. This change is expected to streamline operations for crypto firms and enhance their ability to serve clients throughout the UAE.</w:t>
      </w:r>
    </w:p>
    <w:p w14:paraId="6E89CE82" w14:textId="77777777" w:rsidR="002D002E" w:rsidRPr="002D002E" w:rsidRDefault="002D002E" w:rsidP="00EB675D">
      <w:pPr>
        <w:spacing w:after="0" w:line="240" w:lineRule="auto"/>
        <w:ind w:left="360"/>
        <w:jc w:val="both"/>
        <w:rPr>
          <w:rFonts w:eastAsia="Times New Roman" w:cstheme="minorHAnsi"/>
        </w:rPr>
      </w:pPr>
    </w:p>
    <w:p w14:paraId="7449EBF8"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Additionally, VARA introduced updated marketing regulations, effective from October 1, 2024, designed to improve transparency and consumer protection in the marketing of virtual assets. These regulations require that all marketing materials be fair and not misleading, with a strong emphasis on clearly communicating the risks associated with investing in cryptocurrencies. </w:t>
      </w:r>
    </w:p>
    <w:p w14:paraId="06204500" w14:textId="77777777" w:rsidR="002D002E" w:rsidRPr="002D002E" w:rsidRDefault="002D002E" w:rsidP="00EB675D">
      <w:pPr>
        <w:spacing w:after="0" w:line="240" w:lineRule="auto"/>
        <w:ind w:left="360"/>
        <w:jc w:val="both"/>
        <w:rPr>
          <w:rFonts w:eastAsia="Times New Roman" w:cstheme="minorHAnsi"/>
        </w:rPr>
      </w:pPr>
    </w:p>
    <w:p w14:paraId="233BC749" w14:textId="646CEA15" w:rsidR="0028403B" w:rsidRPr="00EB675D" w:rsidRDefault="002D002E" w:rsidP="00EB675D">
      <w:pPr>
        <w:spacing w:after="0" w:line="240" w:lineRule="auto"/>
        <w:ind w:left="360"/>
        <w:jc w:val="both"/>
        <w:rPr>
          <w:rFonts w:eastAsia="Times New Roman" w:cstheme="minorHAnsi"/>
        </w:rPr>
      </w:pPr>
      <w:r w:rsidRPr="00EB675D">
        <w:rPr>
          <w:rFonts w:eastAsia="Times New Roman" w:cstheme="minorHAnsi"/>
        </w:rPr>
        <w:t>Furthermore, On October 14, 2024, AED Stablecoin LLC received in-principal approval from the Central Bank of the UAE to launch </w:t>
      </w:r>
      <w:hyperlink r:id="rId42" w:history="1">
        <w:r w:rsidRPr="00EB675D">
          <w:rPr>
            <w:rStyle w:val="Hyperlink"/>
            <w:rFonts w:eastAsia="Times New Roman" w:cstheme="minorHAnsi"/>
            <w:color w:val="FF6E00"/>
            <w:u w:val="none"/>
          </w:rPr>
          <w:t>AE Coin, the first dirham-backed stablecoin in the UAE</w:t>
        </w:r>
      </w:hyperlink>
      <w:r w:rsidRPr="00EB675D">
        <w:rPr>
          <w:rFonts w:eastAsia="Times New Roman" w:cstheme="minorHAnsi"/>
        </w:rPr>
        <w:t>. This approval aligns with the country’s Digital Government Strategy 2025 and the Payment Token Services Regulation established earlier in June 2024. AE Coin is designed to combine the stability of the UAE dirham with the efficiency of blockchain technology, enabling secure and low-cost transactions for both individuals and businesses. </w:t>
      </w:r>
    </w:p>
    <w:p w14:paraId="39C36A8A" w14:textId="77777777" w:rsidR="006B45A1" w:rsidRPr="00EB675D" w:rsidRDefault="006B45A1" w:rsidP="00EB675D">
      <w:pPr>
        <w:spacing w:after="0" w:line="240" w:lineRule="auto"/>
        <w:ind w:left="360"/>
        <w:jc w:val="both"/>
        <w:rPr>
          <w:rFonts w:eastAsia="Times New Roman" w:cstheme="minorHAnsi"/>
        </w:rPr>
      </w:pPr>
    </w:p>
    <w:p w14:paraId="25233241" w14:textId="21EEE250" w:rsidR="006B45A1" w:rsidRPr="00EB675D" w:rsidRDefault="006B45A1" w:rsidP="00EB675D">
      <w:pPr>
        <w:spacing w:after="0" w:line="240" w:lineRule="auto"/>
        <w:ind w:left="360"/>
        <w:jc w:val="both"/>
        <w:rPr>
          <w:rFonts w:eastAsia="Times New Roman" w:cstheme="minorHAnsi"/>
        </w:rPr>
      </w:pPr>
      <w:r w:rsidRPr="006B45A1">
        <w:rPr>
          <w:rFonts w:eastAsia="Times New Roman" w:cstheme="minorHAnsi"/>
        </w:rPr>
        <w:t>Also, the UAE's Ras Al Khaimah Digital Assets Oasis (</w:t>
      </w:r>
      <w:hyperlink r:id="rId43" w:history="1">
        <w:r w:rsidRPr="006B45A1">
          <w:rPr>
            <w:rStyle w:val="Hyperlink"/>
            <w:rFonts w:eastAsia="Times New Roman" w:cstheme="minorHAnsi"/>
            <w:b/>
            <w:bCs/>
            <w:color w:val="FF6E00"/>
            <w:u w:val="none"/>
          </w:rPr>
          <w:t>RAK DAO</w:t>
        </w:r>
      </w:hyperlink>
      <w:r w:rsidRPr="006B45A1">
        <w:rPr>
          <w:rFonts w:eastAsia="Times New Roman" w:cstheme="minorHAnsi"/>
        </w:rPr>
        <w:t>) is set to introduce a legal framework for decentralized autonomous organizations (</w:t>
      </w:r>
      <w:hyperlink r:id="rId44" w:history="1">
        <w:r w:rsidRPr="006B45A1">
          <w:rPr>
            <w:rStyle w:val="Hyperlink"/>
            <w:rFonts w:eastAsia="Times New Roman" w:cstheme="minorHAnsi"/>
            <w:b/>
            <w:bCs/>
            <w:color w:val="FF6E00"/>
            <w:u w:val="none"/>
          </w:rPr>
          <w:t>DAOs</w:t>
        </w:r>
      </w:hyperlink>
      <w:r w:rsidRPr="006B45A1">
        <w:rPr>
          <w:rFonts w:eastAsia="Times New Roman" w:cstheme="minorHAnsi"/>
        </w:rPr>
        <w:t xml:space="preserve">) on October 25, 2024, during the DAO Legal Clinic event. This framework is designed to empower DAOs, including smaller entities, to operate legally within the UAE by clarifying governance and compliance expectations. Key features of the framework include remote registration, allowing DAOs to register without a physical presence in the UAE, which </w:t>
      </w:r>
      <w:r w:rsidRPr="006B45A1">
        <w:rPr>
          <w:rFonts w:eastAsia="Times New Roman" w:cstheme="minorHAnsi"/>
        </w:rPr>
        <w:lastRenderedPageBreak/>
        <w:t>will attract global participation. Additionally, the framework will provide a legal identity for DAOs and protection from individual liabilities for founders and members. It will also permit DAOs to own both on-chain and off-chain assets while clarifying tax obligations and benefits. Furthermore, procedures for handling internal and external conflicts will be established, enabling DAOs to undertake legally enforceable obligations.</w:t>
      </w:r>
    </w:p>
    <w:p w14:paraId="359D9FEC" w14:textId="77777777" w:rsidR="002D002E" w:rsidRPr="00EB675D" w:rsidRDefault="002D002E" w:rsidP="00EB675D">
      <w:pPr>
        <w:spacing w:after="0" w:line="240" w:lineRule="auto"/>
        <w:ind w:left="360"/>
        <w:jc w:val="both"/>
        <w:rPr>
          <w:rFonts w:eastAsia="Times New Roman" w:cstheme="minorHAnsi"/>
          <w:b/>
          <w:bCs/>
          <w:u w:val="single"/>
          <w:lang w:val="en-SG"/>
        </w:rPr>
      </w:pPr>
    </w:p>
    <w:p w14:paraId="14FBEAF9" w14:textId="425039C2" w:rsidR="00B62FFD" w:rsidRPr="00EB675D" w:rsidRDefault="009E6883" w:rsidP="001E6213">
      <w:pPr>
        <w:pStyle w:val="Heading1"/>
      </w:pPr>
      <w:bookmarkStart w:id="27" w:name="_Toc194937396"/>
      <w:r w:rsidRPr="00EB675D">
        <w:t xml:space="preserve">Pending litigation and judgments related to virtual assets </w:t>
      </w:r>
      <w:r w:rsidR="00DD2CD2" w:rsidRPr="00EB675D">
        <w:t xml:space="preserve">in </w:t>
      </w:r>
      <w:r w:rsidR="00314D4A" w:rsidRPr="00EB675D">
        <w:t>Dubai (UAE)</w:t>
      </w:r>
      <w:r w:rsidR="00800E9F" w:rsidRPr="00EB675D">
        <w:t xml:space="preserve"> </w:t>
      </w:r>
      <w:r w:rsidRPr="00EB675D">
        <w:t>(if any)</w:t>
      </w:r>
      <w:bookmarkEnd w:id="27"/>
    </w:p>
    <w:p w14:paraId="375BF8D9" w14:textId="77777777" w:rsidR="00AC3F77" w:rsidRPr="00EB675D" w:rsidRDefault="00AC3F77" w:rsidP="00EB675D">
      <w:pPr>
        <w:spacing w:after="0" w:line="240" w:lineRule="auto"/>
        <w:jc w:val="both"/>
        <w:rPr>
          <w:rFonts w:eastAsia="Times New Roman" w:cstheme="minorHAnsi"/>
          <w:b/>
          <w:lang w:val="en-SG"/>
        </w:rPr>
      </w:pPr>
    </w:p>
    <w:p w14:paraId="27269ACE" w14:textId="40F429EF" w:rsidR="00A074B0" w:rsidRPr="00EB675D" w:rsidRDefault="00A074B0" w:rsidP="00EB675D">
      <w:pPr>
        <w:spacing w:after="0" w:line="240" w:lineRule="auto"/>
        <w:ind w:left="360"/>
        <w:jc w:val="both"/>
        <w:rPr>
          <w:rFonts w:eastAsia="Times New Roman" w:cstheme="minorHAnsi"/>
          <w:bCs/>
        </w:rPr>
      </w:pPr>
      <w:hyperlink r:id="rId45" w:history="1">
        <w:r w:rsidRPr="00A074B0">
          <w:rPr>
            <w:rStyle w:val="Hyperlink"/>
            <w:rFonts w:eastAsia="Times New Roman" w:cstheme="minorHAnsi"/>
            <w:bCs/>
            <w:color w:val="FF6E00"/>
          </w:rPr>
          <w:t>Dubai Appeals Court Case No. 27/2024</w:t>
        </w:r>
      </w:hyperlink>
      <w:r w:rsidRPr="00A074B0">
        <w:rPr>
          <w:rFonts w:eastAsia="Times New Roman" w:cstheme="minorHAnsi"/>
          <w:bCs/>
        </w:rPr>
        <w:t xml:space="preserve">: In this important ruling, the Dubai Appeals Court supported a previous decision that awarded damages in a cryptocurrency fraud case. The plaintiff claimed that AED 200,000 meant for cryptocurrency transactions was stolen by the defendant, who already faced criminal charges for this act. The court recognised cryptocurrency as property, meaning that digital assets have ownership rights and can be protected by current laws. </w:t>
      </w:r>
    </w:p>
    <w:p w14:paraId="1BE11D36" w14:textId="77777777" w:rsidR="00273D15" w:rsidRPr="00A074B0" w:rsidRDefault="00273D15" w:rsidP="00EB675D">
      <w:pPr>
        <w:spacing w:after="0" w:line="240" w:lineRule="auto"/>
        <w:ind w:left="360"/>
        <w:jc w:val="both"/>
        <w:rPr>
          <w:rFonts w:eastAsia="Times New Roman" w:cstheme="minorHAnsi"/>
          <w:bCs/>
        </w:rPr>
      </w:pPr>
    </w:p>
    <w:p w14:paraId="0F0D9805" w14:textId="1AEE3F04" w:rsidR="00A074B0" w:rsidRPr="00EB675D" w:rsidRDefault="00A074B0" w:rsidP="00EB675D">
      <w:pPr>
        <w:spacing w:after="0" w:line="240" w:lineRule="auto"/>
        <w:ind w:left="360"/>
        <w:jc w:val="both"/>
        <w:rPr>
          <w:rFonts w:eastAsia="Times New Roman" w:cstheme="minorHAnsi"/>
          <w:bCs/>
        </w:rPr>
      </w:pPr>
      <w:hyperlink r:id="rId46" w:history="1">
        <w:r w:rsidRPr="00A074B0">
          <w:rPr>
            <w:rStyle w:val="Hyperlink"/>
            <w:rFonts w:eastAsia="Times New Roman" w:cstheme="minorHAnsi"/>
            <w:bCs/>
            <w:color w:val="FF6E00"/>
          </w:rPr>
          <w:t>Dubai Court of First Instance Case No. 1739 of 2024</w:t>
        </w:r>
      </w:hyperlink>
      <w:r w:rsidRPr="00A074B0">
        <w:rPr>
          <w:rFonts w:eastAsia="Times New Roman" w:cstheme="minorHAnsi"/>
          <w:bCs/>
        </w:rPr>
        <w:t xml:space="preserve">: This case created a new legal rule about employee pay in digital assets. The court decided that employees can receive their salaries in digital currencies, specifically EcoWatt tokens, as mentioned in their job contracts. This ruling reversed an earlier decision that didn't allow payments in digital currency because of concerns about its value. </w:t>
      </w:r>
    </w:p>
    <w:p w14:paraId="09063CF8" w14:textId="77777777" w:rsidR="00A074B0" w:rsidRPr="00A074B0" w:rsidRDefault="00A074B0" w:rsidP="00EB675D">
      <w:pPr>
        <w:spacing w:after="0" w:line="240" w:lineRule="auto"/>
        <w:ind w:left="360"/>
        <w:jc w:val="both"/>
        <w:rPr>
          <w:rFonts w:eastAsia="Times New Roman" w:cstheme="minorHAnsi"/>
          <w:bCs/>
        </w:rPr>
      </w:pPr>
    </w:p>
    <w:p w14:paraId="436224B2" w14:textId="22791A2F" w:rsidR="00A074B0" w:rsidRPr="00EB675D" w:rsidRDefault="00A074B0" w:rsidP="00EB675D">
      <w:pPr>
        <w:spacing w:after="0" w:line="240" w:lineRule="auto"/>
        <w:ind w:left="360"/>
        <w:jc w:val="both"/>
        <w:rPr>
          <w:rFonts w:eastAsia="Times New Roman" w:cstheme="minorHAnsi"/>
          <w:bCs/>
        </w:rPr>
      </w:pPr>
      <w:hyperlink r:id="rId47" w:history="1">
        <w:r w:rsidRPr="00A074B0">
          <w:rPr>
            <w:rStyle w:val="Hyperlink"/>
            <w:rFonts w:eastAsia="Times New Roman" w:cstheme="minorHAnsi"/>
            <w:bCs/>
            <w:color w:val="FF6E00"/>
          </w:rPr>
          <w:t>VARA's Crackdown on Unlicensed firms</w:t>
        </w:r>
      </w:hyperlink>
      <w:r w:rsidRPr="00A074B0">
        <w:rPr>
          <w:rFonts w:eastAsia="Times New Roman" w:cstheme="minorHAnsi"/>
          <w:bCs/>
        </w:rPr>
        <w:t xml:space="preserve">: </w:t>
      </w:r>
      <w:proofErr w:type="gramStart"/>
      <w:r w:rsidRPr="00A074B0">
        <w:rPr>
          <w:rFonts w:eastAsia="Times New Roman" w:cstheme="minorHAnsi"/>
          <w:bCs/>
        </w:rPr>
        <w:t>The VARA</w:t>
      </w:r>
      <w:proofErr w:type="gramEnd"/>
      <w:r w:rsidRPr="00A074B0">
        <w:rPr>
          <w:rFonts w:eastAsia="Times New Roman" w:cstheme="minorHAnsi"/>
          <w:bCs/>
        </w:rPr>
        <w:t xml:space="preserve"> has been actively pursuing unlicensed firms operating in Dubai’s virtual asset ecosystem. Recently, VARA issued cease-and-desist orders and imposed fines ranging from AED 50,000 to AED 100,000 on seven entities for operating without the required licenses and violating marketing regulations. These enforcement actions are part of VARA's broader initiative to ensure compliance and protect consumers from potential risks associated with unregulated activities in the cryptocurrency market.</w:t>
      </w:r>
    </w:p>
    <w:p w14:paraId="3D2E17C5" w14:textId="77777777" w:rsidR="0028403B" w:rsidRPr="00EB675D" w:rsidRDefault="0028403B" w:rsidP="00EB675D">
      <w:pPr>
        <w:spacing w:after="0" w:line="240" w:lineRule="auto"/>
        <w:ind w:left="360"/>
        <w:jc w:val="both"/>
        <w:rPr>
          <w:rFonts w:eastAsia="Times New Roman" w:cstheme="minorHAnsi"/>
          <w:b/>
          <w:lang w:val="en-SG"/>
        </w:rPr>
      </w:pPr>
    </w:p>
    <w:p w14:paraId="57EFF854" w14:textId="03B29A82" w:rsidR="00B36B1B" w:rsidRPr="00EB675D" w:rsidRDefault="009E6883" w:rsidP="001E6213">
      <w:pPr>
        <w:pStyle w:val="Heading1"/>
      </w:pPr>
      <w:bookmarkStart w:id="28" w:name="_Toc194937397"/>
      <w:r w:rsidRPr="00EB675D">
        <w:t xml:space="preserve">Government outlook on virtual assets and crypto-related activities </w:t>
      </w:r>
      <w:r w:rsidR="00DD2CD2" w:rsidRPr="00EB675D">
        <w:t xml:space="preserve">in </w:t>
      </w:r>
      <w:r w:rsidR="00314D4A" w:rsidRPr="00EB675D">
        <w:t>Dubai (UAE)</w:t>
      </w:r>
      <w:bookmarkEnd w:id="28"/>
    </w:p>
    <w:p w14:paraId="4B15FBCF" w14:textId="77777777" w:rsidR="00B36B1B" w:rsidRPr="00EB675D" w:rsidRDefault="00B36B1B" w:rsidP="00EB675D">
      <w:pPr>
        <w:spacing w:after="0" w:line="240" w:lineRule="auto"/>
        <w:ind w:left="360"/>
        <w:jc w:val="both"/>
        <w:rPr>
          <w:rFonts w:eastAsia="Times New Roman" w:cstheme="minorHAnsi"/>
          <w:b/>
          <w:lang w:val="en-SG"/>
        </w:rPr>
      </w:pPr>
    </w:p>
    <w:p w14:paraId="7CDA274F"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established the VARA in March 2022, enacting the Virtual Assets Law for regulatory oversight of virtual assets, NFTs, and virtual asset service providers. The DWTC Authority collaborates with VARA to streamline regulatory processes. </w:t>
      </w:r>
      <w:proofErr w:type="gramStart"/>
      <w:r w:rsidRPr="00232D63">
        <w:rPr>
          <w:rFonts w:eastAsia="Times New Roman" w:cstheme="minorHAnsi"/>
          <w:bCs/>
        </w:rPr>
        <w:t>The UAE</w:t>
      </w:r>
      <w:proofErr w:type="gramEnd"/>
      <w:r w:rsidRPr="00232D63">
        <w:rPr>
          <w:rFonts w:eastAsia="Times New Roman" w:cstheme="minorHAnsi"/>
          <w:bCs/>
        </w:rPr>
        <w:t xml:space="preserve"> Central Bank launched the 'Digital Dirham' strategy in March 2023, focusing on cross-border transactions and exploring Central Bank Digital Currency issuance for wholesale and retail applications.</w:t>
      </w:r>
    </w:p>
    <w:p w14:paraId="175BEADD" w14:textId="77777777" w:rsidR="00232D63" w:rsidRPr="00232D63" w:rsidRDefault="00232D63" w:rsidP="00EB675D">
      <w:pPr>
        <w:spacing w:after="0" w:line="240" w:lineRule="auto"/>
        <w:ind w:left="360"/>
        <w:jc w:val="both"/>
        <w:rPr>
          <w:rFonts w:eastAsia="Times New Roman" w:cstheme="minorHAnsi"/>
          <w:bCs/>
        </w:rPr>
      </w:pPr>
    </w:p>
    <w:p w14:paraId="5822EB1F" w14:textId="4B15E82E"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Law No. 4 of 2022 provides the foundation for VARA's authority. Regulatory bodies like the SCA advise caution in dealing with crypto-related financial products, aligning with the government's commitment to investor protection. On September 9, 2024, the SCA and VARA formalised a significant </w:t>
      </w:r>
      <w:hyperlink r:id="rId48" w:history="1">
        <w:r w:rsidRPr="00232D63">
          <w:rPr>
            <w:rStyle w:val="Hyperlink"/>
            <w:rFonts w:eastAsia="Times New Roman" w:cstheme="minorHAnsi"/>
            <w:bCs/>
            <w:color w:val="FF6E00"/>
            <w:u w:val="none"/>
          </w:rPr>
          <w:t>agreement to streamline the licensing process</w:t>
        </w:r>
      </w:hyperlink>
      <w:r w:rsidR="00614E24" w:rsidRPr="00EB675D">
        <w:rPr>
          <w:rFonts w:eastAsia="Times New Roman" w:cstheme="minorHAnsi"/>
          <w:bCs/>
          <w:color w:val="FF6E00"/>
        </w:rPr>
        <w:t xml:space="preserve"> </w:t>
      </w:r>
      <w:r w:rsidRPr="00232D63">
        <w:rPr>
          <w:rFonts w:eastAsia="Times New Roman" w:cstheme="minorHAnsi"/>
          <w:bCs/>
        </w:rPr>
        <w:t>of VASPs in the UAE. Under this agreement, VASPs operating in or from Dubai will be licensed by VARA and automatically registered with the SCA for operations across the UAE. This regulatory alignment aims to enhance oversight and facilitate a unified approach to managing virtual assets</w:t>
      </w:r>
      <w:r w:rsidR="00286395" w:rsidRPr="00EB675D">
        <w:rPr>
          <w:rFonts w:eastAsia="Times New Roman" w:cstheme="minorHAnsi"/>
          <w:bCs/>
        </w:rPr>
        <w:t>.</w:t>
      </w:r>
    </w:p>
    <w:p w14:paraId="141A4AFA" w14:textId="77777777" w:rsidR="00232D63" w:rsidRPr="00232D63" w:rsidRDefault="00232D63" w:rsidP="00EB675D">
      <w:pPr>
        <w:spacing w:after="0" w:line="240" w:lineRule="auto"/>
        <w:ind w:left="360"/>
        <w:jc w:val="both"/>
        <w:rPr>
          <w:rFonts w:eastAsia="Times New Roman" w:cstheme="minorHAnsi"/>
          <w:bCs/>
        </w:rPr>
      </w:pPr>
    </w:p>
    <w:p w14:paraId="4EA2F3FB"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VAL law outlines specific requirements for VASPs, including licensing, compliance with AML regulations, and adherence to KYC protocols. VARA's regulations are designed to protect investors while promoting transparency and accountability in the market. As of 2024, VARA has issued licenses to over 30 VASPs, showcasing its commitment to fostering a regulated environment for cryptocurrency activities.</w:t>
      </w:r>
    </w:p>
    <w:p w14:paraId="55B112D5" w14:textId="77777777" w:rsidR="00232D63" w:rsidRPr="00232D63" w:rsidRDefault="00232D63" w:rsidP="00EB675D">
      <w:pPr>
        <w:spacing w:after="0" w:line="240" w:lineRule="auto"/>
        <w:ind w:left="360"/>
        <w:jc w:val="both"/>
        <w:rPr>
          <w:rFonts w:eastAsia="Times New Roman" w:cstheme="minorHAnsi"/>
          <w:bCs/>
        </w:rPr>
      </w:pPr>
    </w:p>
    <w:p w14:paraId="5C76B75A"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lastRenderedPageBreak/>
        <w:t xml:space="preserve">VARA has implemented strict compliance measures, requiring VASPs to undergo rigorous evaluations before receiving operational licenses. This includes ongoing monitoring to ensure that licensed entities adhere to AML and KYC standards. In recent months, VARA has increased its enforcement actions, imposing fines on unlicensed firms and emphasising that unauthorised promotion of virtual assets will not be tolerated. </w:t>
      </w:r>
    </w:p>
    <w:p w14:paraId="118016A8" w14:textId="77777777" w:rsidR="00232D63" w:rsidRPr="00232D63" w:rsidRDefault="00232D63" w:rsidP="00EB675D">
      <w:pPr>
        <w:spacing w:after="0" w:line="240" w:lineRule="auto"/>
        <w:ind w:left="360"/>
        <w:jc w:val="both"/>
        <w:rPr>
          <w:rFonts w:eastAsia="Times New Roman" w:cstheme="minorHAnsi"/>
          <w:bCs/>
        </w:rPr>
      </w:pPr>
    </w:p>
    <w:p w14:paraId="66B3267D" w14:textId="0A8DEBCB" w:rsidR="00C90541"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UAE government is also focused on leveraging blockchain technology as part of its broader economic strategy. The </w:t>
      </w:r>
      <w:hyperlink r:id="rId49" w:history="1">
        <w:r w:rsidRPr="00232D63">
          <w:rPr>
            <w:rStyle w:val="Hyperlink"/>
            <w:rFonts w:eastAsia="Times New Roman" w:cstheme="minorHAnsi"/>
            <w:bCs/>
            <w:color w:val="FF6E00"/>
            <w:u w:val="none"/>
          </w:rPr>
          <w:t>Emirates Blockchain Strategy 2021</w:t>
        </w:r>
      </w:hyperlink>
      <w:r w:rsidR="001C2255" w:rsidRPr="00EB675D">
        <w:rPr>
          <w:rFonts w:eastAsia="Times New Roman" w:cstheme="minorHAnsi"/>
          <w:bCs/>
          <w:vertAlign w:val="superscript"/>
        </w:rPr>
        <w:t xml:space="preserve"> </w:t>
      </w:r>
      <w:r w:rsidRPr="00232D63">
        <w:rPr>
          <w:rFonts w:eastAsia="Times New Roman" w:cstheme="minorHAnsi"/>
          <w:bCs/>
        </w:rPr>
        <w:t>aims for 50% of all government transactions to occur via blockchain by 2025. This initiative not only enhances operational efficiency but also positions Dubai as a leader in digital transformation, attracting global talent and investment in blockchain and cryptocurrency sectors.</w:t>
      </w:r>
    </w:p>
    <w:p w14:paraId="0DF0A675" w14:textId="77777777" w:rsidR="00F9672A" w:rsidRPr="00EB675D" w:rsidRDefault="00F9672A" w:rsidP="00EB675D">
      <w:pPr>
        <w:spacing w:after="0" w:line="240" w:lineRule="auto"/>
        <w:jc w:val="both"/>
        <w:rPr>
          <w:rFonts w:eastAsia="Times New Roman" w:cstheme="minorHAnsi"/>
          <w:b/>
          <w:lang w:val="en-SG"/>
        </w:rPr>
      </w:pPr>
    </w:p>
    <w:p w14:paraId="6D1BD6FA" w14:textId="3AE0A38E" w:rsidR="007F43B2" w:rsidRPr="00EB675D" w:rsidRDefault="009E6883" w:rsidP="001E6213">
      <w:pPr>
        <w:pStyle w:val="Heading1"/>
      </w:pPr>
      <w:bookmarkStart w:id="29" w:name="_Toc194937398"/>
      <w:r w:rsidRPr="00EB675D">
        <w:t xml:space="preserve">Advantages of setting up a </w:t>
      </w:r>
      <w:r w:rsidR="00B13A70">
        <w:t>V</w:t>
      </w:r>
      <w:r w:rsidR="00DB2AA9" w:rsidRPr="00EB675D">
        <w:t>ASP</w:t>
      </w:r>
      <w:r w:rsidRPr="00EB675D">
        <w:t xml:space="preserve"> </w:t>
      </w:r>
      <w:r w:rsidR="00DD2CD2" w:rsidRPr="00EB675D">
        <w:t xml:space="preserve">in </w:t>
      </w:r>
      <w:r w:rsidR="00314D4A" w:rsidRPr="00EB675D">
        <w:t>Dubai (UAE)</w:t>
      </w:r>
      <w:bookmarkEnd w:id="29"/>
    </w:p>
    <w:p w14:paraId="267D7221" w14:textId="77777777" w:rsidR="00E56422" w:rsidRPr="00EB675D" w:rsidRDefault="00E56422" w:rsidP="00EB675D">
      <w:pPr>
        <w:spacing w:after="0" w:line="240" w:lineRule="auto"/>
        <w:jc w:val="both"/>
        <w:rPr>
          <w:rFonts w:eastAsia="Times New Roman" w:cstheme="minorHAnsi"/>
          <w:b/>
          <w:lang w:val="en-SG"/>
        </w:rPr>
      </w:pPr>
    </w:p>
    <w:p w14:paraId="57B80849" w14:textId="068DF90E"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Establishing a VASP in Dubai presents numerous advantages, particularly following the introduction of the</w:t>
      </w:r>
      <w:r w:rsidR="00C47DA9">
        <w:rPr>
          <w:rFonts w:eastAsia="Times New Roman" w:cstheme="minorHAnsi"/>
          <w:bCs/>
        </w:rPr>
        <w:t xml:space="preserve"> VAL</w:t>
      </w:r>
      <w:r w:rsidRPr="0080136E">
        <w:rPr>
          <w:rFonts w:eastAsia="Times New Roman" w:cstheme="minorHAnsi"/>
          <w:bCs/>
        </w:rPr>
        <w:t xml:space="preserve"> and the establishment of the Dubai VARA. This regulatory body is responsible for overseeing all virtual asset activities within Dubai, except for the DIFC, which has its own regulatory framework. VARA's regulations encompass a comprehensive range of activities, including exchange services, token trading, and platform services, providing a structured environment for VASPs to operate. One key benefit of setting up a VASP in Dubai is the regulatory clarity offered by VARA. The framework includes 13 specific rulebooks, five of which are mandatory for all VASPs. These cover essential areas such as compliance and risk management, technology standards, and market conduct. </w:t>
      </w:r>
    </w:p>
    <w:p w14:paraId="07F3C39D" w14:textId="77777777" w:rsidR="0080136E" w:rsidRPr="0080136E" w:rsidRDefault="0080136E" w:rsidP="00EB675D">
      <w:pPr>
        <w:spacing w:after="0" w:line="240" w:lineRule="auto"/>
        <w:ind w:left="360"/>
        <w:jc w:val="both"/>
        <w:rPr>
          <w:rFonts w:eastAsia="Times New Roman" w:cstheme="minorHAnsi"/>
          <w:bCs/>
        </w:rPr>
      </w:pPr>
    </w:p>
    <w:p w14:paraId="4A22BBF3" w14:textId="77777777"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Dubai's various free zones, such as the DMCC and the DWTC, offer additional incentives for VASPs. These zones provide tailored regulatory frameworks that facilitate investment in crypto assets and tokens. By operating within these zones, businesses can benefit from streamlined processes and potential tax advantages, making it easier to attract both local and international investments.</w:t>
      </w:r>
    </w:p>
    <w:p w14:paraId="09FE833D" w14:textId="77777777" w:rsidR="0080136E" w:rsidRPr="0080136E" w:rsidRDefault="0080136E" w:rsidP="00EB675D">
      <w:pPr>
        <w:spacing w:after="0" w:line="240" w:lineRule="auto"/>
        <w:ind w:left="360"/>
        <w:jc w:val="both"/>
        <w:rPr>
          <w:rFonts w:eastAsia="Times New Roman" w:cstheme="minorHAnsi"/>
          <w:bCs/>
        </w:rPr>
      </w:pPr>
    </w:p>
    <w:p w14:paraId="3AF34493" w14:textId="0C41E35D" w:rsidR="0080136E" w:rsidRDefault="0080136E" w:rsidP="002A1292">
      <w:pPr>
        <w:spacing w:after="0" w:line="240" w:lineRule="auto"/>
        <w:ind w:left="360"/>
        <w:jc w:val="both"/>
        <w:rPr>
          <w:rFonts w:eastAsia="Times New Roman" w:cstheme="minorHAnsi"/>
          <w:bCs/>
        </w:rPr>
      </w:pPr>
      <w:r w:rsidRPr="0080136E">
        <w:rPr>
          <w:rFonts w:eastAsia="Times New Roman" w:cstheme="minorHAnsi"/>
          <w:bCs/>
        </w:rPr>
        <w:t>Furthermore, VARA's commitment to creating a responsible regulatory environment is evident in its focus on AML measures and investor protection. The authority requires VASPs to comply with strict AML standards and maintain transparency in their operations. Moreover, the 2023 Regulations of Virtual Assets aim to establish Dubai as a hub for digital assets, promoting innovation while ensuring that businesses operate within a secure framework. The recent issuance of multiple licenses by VARA indicates a rapidly expanding market, providing VASPs with opportunities to establish themselves in a thriving digital economy.</w:t>
      </w:r>
    </w:p>
    <w:p w14:paraId="08961609" w14:textId="77777777" w:rsidR="002A1292" w:rsidRDefault="002A1292" w:rsidP="002A1292">
      <w:pPr>
        <w:spacing w:after="0" w:line="240" w:lineRule="auto"/>
        <w:ind w:left="360"/>
        <w:jc w:val="both"/>
        <w:rPr>
          <w:rFonts w:eastAsia="Times New Roman" w:cstheme="minorHAnsi"/>
          <w:bCs/>
        </w:rPr>
      </w:pPr>
    </w:p>
    <w:p w14:paraId="791BAA56" w14:textId="77777777" w:rsidR="002A1292" w:rsidRDefault="002A1292" w:rsidP="002A1292">
      <w:pPr>
        <w:spacing w:after="0" w:line="240" w:lineRule="auto"/>
        <w:ind w:left="360"/>
        <w:jc w:val="both"/>
        <w:rPr>
          <w:rFonts w:eastAsia="Times New Roman" w:cstheme="minorHAnsi"/>
          <w:bCs/>
        </w:rPr>
      </w:pPr>
    </w:p>
    <w:p w14:paraId="208F5073" w14:textId="77777777" w:rsidR="002A1292" w:rsidRDefault="002A1292" w:rsidP="002A1292">
      <w:pPr>
        <w:spacing w:after="0" w:line="240" w:lineRule="auto"/>
        <w:ind w:left="360"/>
        <w:jc w:val="both"/>
        <w:rPr>
          <w:rFonts w:eastAsia="Times New Roman" w:cstheme="minorHAnsi"/>
          <w:bCs/>
        </w:rPr>
      </w:pPr>
    </w:p>
    <w:p w14:paraId="76CF3DB8" w14:textId="77777777" w:rsidR="002A1292" w:rsidRDefault="002A1292" w:rsidP="002A1292">
      <w:pPr>
        <w:spacing w:after="0" w:line="240" w:lineRule="auto"/>
        <w:ind w:left="360"/>
        <w:jc w:val="both"/>
        <w:rPr>
          <w:rFonts w:eastAsia="Times New Roman" w:cstheme="minorHAnsi"/>
          <w:bCs/>
        </w:rPr>
      </w:pPr>
    </w:p>
    <w:p w14:paraId="49D6D01C" w14:textId="77777777" w:rsidR="002A1292" w:rsidRDefault="002A1292" w:rsidP="002A1292">
      <w:pPr>
        <w:spacing w:after="0" w:line="240" w:lineRule="auto"/>
        <w:ind w:left="360"/>
        <w:jc w:val="both"/>
        <w:rPr>
          <w:rFonts w:eastAsia="Times New Roman" w:cstheme="minorHAnsi"/>
          <w:bCs/>
        </w:rPr>
      </w:pPr>
    </w:p>
    <w:p w14:paraId="39768E4E" w14:textId="77777777" w:rsidR="002A1292" w:rsidRDefault="002A1292" w:rsidP="002A1292">
      <w:pPr>
        <w:spacing w:after="0" w:line="240" w:lineRule="auto"/>
        <w:ind w:left="360"/>
        <w:jc w:val="both"/>
        <w:rPr>
          <w:rFonts w:eastAsia="Times New Roman" w:cstheme="minorHAnsi"/>
          <w:bCs/>
        </w:rPr>
      </w:pPr>
    </w:p>
    <w:p w14:paraId="2E179383" w14:textId="77777777" w:rsidR="002A1292" w:rsidRDefault="002A1292" w:rsidP="002A1292">
      <w:pPr>
        <w:spacing w:after="0" w:line="240" w:lineRule="auto"/>
        <w:ind w:left="360"/>
        <w:jc w:val="both"/>
        <w:rPr>
          <w:rFonts w:eastAsia="Times New Roman" w:cstheme="minorHAnsi"/>
          <w:bCs/>
        </w:rPr>
      </w:pPr>
    </w:p>
    <w:p w14:paraId="0C918F02" w14:textId="77777777" w:rsidR="002A1292" w:rsidRDefault="002A1292" w:rsidP="002A1292">
      <w:pPr>
        <w:spacing w:after="0" w:line="240" w:lineRule="auto"/>
        <w:ind w:left="360"/>
        <w:jc w:val="both"/>
        <w:rPr>
          <w:rFonts w:eastAsia="Times New Roman" w:cstheme="minorHAnsi"/>
          <w:bCs/>
        </w:rPr>
      </w:pPr>
    </w:p>
    <w:p w14:paraId="634DBC30" w14:textId="77777777" w:rsidR="002A1292" w:rsidRDefault="002A1292" w:rsidP="002A1292">
      <w:pPr>
        <w:spacing w:after="0" w:line="240" w:lineRule="auto"/>
        <w:ind w:left="360"/>
        <w:jc w:val="both"/>
        <w:rPr>
          <w:rFonts w:eastAsia="Times New Roman" w:cstheme="minorHAnsi"/>
          <w:bCs/>
        </w:rPr>
      </w:pPr>
    </w:p>
    <w:p w14:paraId="0F337C2B" w14:textId="77777777" w:rsidR="002A1292" w:rsidRDefault="002A1292" w:rsidP="00CB78F7">
      <w:pPr>
        <w:spacing w:after="0" w:line="240" w:lineRule="auto"/>
        <w:jc w:val="both"/>
        <w:rPr>
          <w:rFonts w:eastAsia="Times New Roman" w:cstheme="minorHAnsi"/>
          <w:bCs/>
        </w:rPr>
      </w:pPr>
    </w:p>
    <w:p w14:paraId="7309A513" w14:textId="77777777" w:rsidR="00CB78F7" w:rsidRDefault="00CB78F7" w:rsidP="00CB78F7">
      <w:pPr>
        <w:spacing w:after="0" w:line="240" w:lineRule="auto"/>
        <w:jc w:val="both"/>
        <w:rPr>
          <w:rFonts w:eastAsia="Times New Roman" w:cstheme="minorHAnsi"/>
          <w:bCs/>
        </w:rPr>
      </w:pPr>
    </w:p>
    <w:p w14:paraId="3F97F0F3" w14:textId="77777777" w:rsidR="002A1292" w:rsidRPr="002A1292" w:rsidRDefault="002A1292" w:rsidP="002A1292">
      <w:pPr>
        <w:spacing w:after="0" w:line="240" w:lineRule="auto"/>
        <w:ind w:left="360"/>
        <w:jc w:val="both"/>
        <w:rPr>
          <w:rFonts w:eastAsia="Times New Roman" w:cstheme="minorHAnsi"/>
          <w:bCs/>
        </w:rPr>
      </w:pPr>
    </w:p>
    <w:p w14:paraId="419E85BB" w14:textId="77777777" w:rsidR="0080136E" w:rsidRPr="004F1EF6" w:rsidRDefault="0080136E" w:rsidP="00C05602">
      <w:pPr>
        <w:spacing w:after="0" w:line="240" w:lineRule="auto"/>
        <w:ind w:left="360"/>
        <w:jc w:val="both"/>
        <w:rPr>
          <w:rFonts w:eastAsia="Times New Roman" w:cstheme="minorHAnsi"/>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F78AAFD"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0B473F">
        <w:rPr>
          <w:rFonts w:ascii="Arial" w:eastAsia="Cambria" w:hAnsi="Arial" w:cs="Arial"/>
          <w:color w:val="FFFFFF"/>
        </w:rPr>
        <w:t>Dubai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A405AA">
        <w:rPr>
          <w:rFonts w:ascii="Arial" w:eastAsia="Cambria" w:hAnsi="Arial" w:cs="Arial"/>
          <w:color w:val="FFFFFF"/>
          <w:lang w:val="en-GB"/>
        </w:rPr>
        <w:t xml:space="preserve"> 2024</w:t>
      </w:r>
    </w:p>
    <w:sectPr w:rsidR="00A57542" w:rsidRPr="00A405AA" w:rsidSect="00D12396">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6135" w14:textId="77777777" w:rsidR="00050ADD" w:rsidRDefault="00050ADD" w:rsidP="005A6CCC">
      <w:pPr>
        <w:spacing w:after="0" w:line="240" w:lineRule="auto"/>
      </w:pPr>
      <w:r>
        <w:separator/>
      </w:r>
    </w:p>
  </w:endnote>
  <w:endnote w:type="continuationSeparator" w:id="0">
    <w:p w14:paraId="36CD386A" w14:textId="77777777" w:rsidR="00050ADD" w:rsidRDefault="00050ADD"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883364">
        <w:pPr>
          <w:pStyle w:val="Footer"/>
          <w:jc w:val="right"/>
        </w:pPr>
        <w:r w:rsidRPr="00883364">
          <w:rPr>
            <w:color w:val="FF6E00"/>
          </w:rPr>
          <w:fldChar w:fldCharType="begin"/>
        </w:r>
        <w:r w:rsidRPr="00883364">
          <w:rPr>
            <w:color w:val="FF6E00"/>
          </w:rPr>
          <w:instrText xml:space="preserve"> PAGE   \* MERGEFORMAT </w:instrText>
        </w:r>
        <w:r w:rsidRPr="00883364">
          <w:rPr>
            <w:color w:val="FF6E00"/>
          </w:rPr>
          <w:fldChar w:fldCharType="separate"/>
        </w:r>
        <w:r w:rsidRPr="00883364">
          <w:rPr>
            <w:noProof/>
            <w:color w:val="FF6E00"/>
          </w:rPr>
          <w:t>2</w:t>
        </w:r>
        <w:r w:rsidRPr="00883364">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7818" w14:textId="77777777" w:rsidR="00050ADD" w:rsidRDefault="00050ADD" w:rsidP="005A6CCC">
      <w:pPr>
        <w:spacing w:after="0" w:line="240" w:lineRule="auto"/>
      </w:pPr>
      <w:r>
        <w:separator/>
      </w:r>
    </w:p>
  </w:footnote>
  <w:footnote w:type="continuationSeparator" w:id="0">
    <w:p w14:paraId="2DAAE8FA" w14:textId="77777777" w:rsidR="00050ADD" w:rsidRDefault="00050ADD"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2"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0"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1"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2"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5"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9"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845E94"/>
    <w:multiLevelType w:val="hybridMultilevel"/>
    <w:tmpl w:val="B2088E8C"/>
    <w:lvl w:ilvl="0" w:tplc="328EE36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3BA61508"/>
    <w:multiLevelType w:val="hybridMultilevel"/>
    <w:tmpl w:val="E222D0C8"/>
    <w:lvl w:ilvl="0" w:tplc="342CE462">
      <w:start w:val="1"/>
      <w:numFmt w:val="lowerRoman"/>
      <w:lvlText w:val="(%1)"/>
      <w:lvlJc w:val="left"/>
      <w:pPr>
        <w:ind w:left="720" w:hanging="360"/>
      </w:pPr>
      <w:rPr>
        <w:rFonts w:hint="default"/>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2"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7"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8"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1"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5"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6"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4"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6"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0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6"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8"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1"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2"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7"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9"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0"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3"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5"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0"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1"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8"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50"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1"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4"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6"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9"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2"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3"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4"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69"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1"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9"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1"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4"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67"/>
  </w:num>
  <w:num w:numId="3" w16cid:durableId="973294829">
    <w:abstractNumId w:val="38"/>
  </w:num>
  <w:num w:numId="4" w16cid:durableId="555043017">
    <w:abstractNumId w:val="1"/>
  </w:num>
  <w:num w:numId="5" w16cid:durableId="1115052401">
    <w:abstractNumId w:val="186"/>
  </w:num>
  <w:num w:numId="6" w16cid:durableId="1355031481">
    <w:abstractNumId w:val="107"/>
  </w:num>
  <w:num w:numId="7" w16cid:durableId="2017657778">
    <w:abstractNumId w:val="119"/>
  </w:num>
  <w:num w:numId="8" w16cid:durableId="216361102">
    <w:abstractNumId w:val="92"/>
  </w:num>
  <w:num w:numId="9" w16cid:durableId="604732300">
    <w:abstractNumId w:val="142"/>
  </w:num>
  <w:num w:numId="10" w16cid:durableId="1132018037">
    <w:abstractNumId w:val="7"/>
  </w:num>
  <w:num w:numId="11" w16cid:durableId="1221555931">
    <w:abstractNumId w:val="170"/>
  </w:num>
  <w:num w:numId="12" w16cid:durableId="1092899972">
    <w:abstractNumId w:val="24"/>
  </w:num>
  <w:num w:numId="13" w16cid:durableId="1963459333">
    <w:abstractNumId w:val="4"/>
  </w:num>
  <w:num w:numId="14" w16cid:durableId="661202714">
    <w:abstractNumId w:val="137"/>
    <w:lvlOverride w:ilvl="0">
      <w:lvl w:ilvl="0">
        <w:numFmt w:val="lowerRoman"/>
        <w:lvlText w:val="%1."/>
        <w:lvlJc w:val="right"/>
      </w:lvl>
    </w:lvlOverride>
  </w:num>
  <w:num w:numId="15" w16cid:durableId="1415124718">
    <w:abstractNumId w:val="137"/>
    <w:lvlOverride w:ilvl="0">
      <w:lvl w:ilvl="0">
        <w:numFmt w:val="lowerRoman"/>
        <w:lvlText w:val="%1."/>
        <w:lvlJc w:val="right"/>
      </w:lvl>
    </w:lvlOverride>
  </w:num>
  <w:num w:numId="16" w16cid:durableId="356656828">
    <w:abstractNumId w:val="137"/>
    <w:lvlOverride w:ilvl="0">
      <w:lvl w:ilvl="0">
        <w:numFmt w:val="lowerRoman"/>
        <w:lvlText w:val="%1."/>
        <w:lvlJc w:val="right"/>
      </w:lvl>
    </w:lvlOverride>
  </w:num>
  <w:num w:numId="17" w16cid:durableId="1517766985">
    <w:abstractNumId w:val="137"/>
    <w:lvlOverride w:ilvl="0">
      <w:lvl w:ilvl="0">
        <w:numFmt w:val="lowerRoman"/>
        <w:lvlText w:val="%1."/>
        <w:lvlJc w:val="right"/>
      </w:lvl>
    </w:lvlOverride>
  </w:num>
  <w:num w:numId="18" w16cid:durableId="660040616">
    <w:abstractNumId w:val="105"/>
  </w:num>
  <w:num w:numId="19" w16cid:durableId="6102727">
    <w:abstractNumId w:val="54"/>
  </w:num>
  <w:num w:numId="20" w16cid:durableId="1493520641">
    <w:abstractNumId w:val="79"/>
  </w:num>
  <w:num w:numId="21" w16cid:durableId="394161690">
    <w:abstractNumId w:val="39"/>
  </w:num>
  <w:num w:numId="22" w16cid:durableId="117797974">
    <w:abstractNumId w:val="73"/>
  </w:num>
  <w:num w:numId="23" w16cid:durableId="639926122">
    <w:abstractNumId w:val="15"/>
  </w:num>
  <w:num w:numId="24" w16cid:durableId="135998681">
    <w:abstractNumId w:val="165"/>
  </w:num>
  <w:num w:numId="25" w16cid:durableId="688526435">
    <w:abstractNumId w:val="75"/>
  </w:num>
  <w:num w:numId="26" w16cid:durableId="362293807">
    <w:abstractNumId w:val="42"/>
  </w:num>
  <w:num w:numId="27" w16cid:durableId="958680568">
    <w:abstractNumId w:val="106"/>
  </w:num>
  <w:num w:numId="28" w16cid:durableId="904878562">
    <w:abstractNumId w:val="153"/>
  </w:num>
  <w:num w:numId="29" w16cid:durableId="852308163">
    <w:abstractNumId w:val="113"/>
  </w:num>
  <w:num w:numId="30" w16cid:durableId="1558203664">
    <w:abstractNumId w:val="28"/>
  </w:num>
  <w:num w:numId="31" w16cid:durableId="1357654313">
    <w:abstractNumId w:val="76"/>
  </w:num>
  <w:num w:numId="32" w16cid:durableId="796682089">
    <w:abstractNumId w:val="183"/>
  </w:num>
  <w:num w:numId="33" w16cid:durableId="683823723">
    <w:abstractNumId w:val="30"/>
  </w:num>
  <w:num w:numId="34" w16cid:durableId="1331644596">
    <w:abstractNumId w:val="166"/>
  </w:num>
  <w:num w:numId="35" w16cid:durableId="1920214604">
    <w:abstractNumId w:val="128"/>
  </w:num>
  <w:num w:numId="36" w16cid:durableId="594754352">
    <w:abstractNumId w:val="118"/>
  </w:num>
  <w:num w:numId="37" w16cid:durableId="618145878">
    <w:abstractNumId w:val="47"/>
  </w:num>
  <w:num w:numId="38" w16cid:durableId="901211574">
    <w:abstractNumId w:val="62"/>
  </w:num>
  <w:num w:numId="39" w16cid:durableId="747189664">
    <w:abstractNumId w:val="164"/>
  </w:num>
  <w:num w:numId="40" w16cid:durableId="1807772640">
    <w:abstractNumId w:val="57"/>
  </w:num>
  <w:num w:numId="41" w16cid:durableId="727535584">
    <w:abstractNumId w:val="40"/>
  </w:num>
  <w:num w:numId="42" w16cid:durableId="1353992384">
    <w:abstractNumId w:val="69"/>
  </w:num>
  <w:num w:numId="43" w16cid:durableId="2035840110">
    <w:abstractNumId w:val="136"/>
  </w:num>
  <w:num w:numId="44" w16cid:durableId="2075620216">
    <w:abstractNumId w:val="37"/>
  </w:num>
  <w:num w:numId="45" w16cid:durableId="577060579">
    <w:abstractNumId w:val="90"/>
  </w:num>
  <w:num w:numId="46" w16cid:durableId="766463855">
    <w:abstractNumId w:val="21"/>
  </w:num>
  <w:num w:numId="47" w16cid:durableId="1711107700">
    <w:abstractNumId w:val="99"/>
  </w:num>
  <w:num w:numId="48" w16cid:durableId="329601572">
    <w:abstractNumId w:val="160"/>
  </w:num>
  <w:num w:numId="49" w16cid:durableId="1732340731">
    <w:abstractNumId w:val="110"/>
  </w:num>
  <w:num w:numId="50" w16cid:durableId="1720665195">
    <w:abstractNumId w:val="9"/>
  </w:num>
  <w:num w:numId="51" w16cid:durableId="1924407811">
    <w:abstractNumId w:val="2"/>
  </w:num>
  <w:num w:numId="52" w16cid:durableId="238101921">
    <w:abstractNumId w:val="111"/>
  </w:num>
  <w:num w:numId="53" w16cid:durableId="1151019813">
    <w:abstractNumId w:val="157"/>
  </w:num>
  <w:num w:numId="54" w16cid:durableId="642780145">
    <w:abstractNumId w:val="88"/>
  </w:num>
  <w:num w:numId="55" w16cid:durableId="1337070752">
    <w:abstractNumId w:val="141"/>
  </w:num>
  <w:num w:numId="56" w16cid:durableId="148446646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3"/>
  </w:num>
  <w:num w:numId="58" w16cid:durableId="21315062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4"/>
  </w:num>
  <w:num w:numId="66" w16cid:durableId="2017733394">
    <w:abstractNumId w:val="3"/>
  </w:num>
  <w:num w:numId="67" w16cid:durableId="2605344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67"/>
  </w:num>
  <w:num w:numId="71" w16cid:durableId="95030058">
    <w:abstractNumId w:val="103"/>
  </w:num>
  <w:num w:numId="72" w16cid:durableId="1457872605">
    <w:abstractNumId w:val="77"/>
  </w:num>
  <w:num w:numId="73" w16cid:durableId="17427995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8"/>
  </w:num>
  <w:num w:numId="78" w16cid:durableId="600257110">
    <w:abstractNumId w:val="115"/>
  </w:num>
  <w:num w:numId="79" w16cid:durableId="1576550529">
    <w:abstractNumId w:val="126"/>
  </w:num>
  <w:num w:numId="80" w16cid:durableId="1802457736">
    <w:abstractNumId w:val="94"/>
  </w:num>
  <w:num w:numId="81" w16cid:durableId="1014921430">
    <w:abstractNumId w:val="163"/>
  </w:num>
  <w:num w:numId="82" w16cid:durableId="15965965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4"/>
  </w:num>
  <w:num w:numId="89" w16cid:durableId="1257515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95"/>
  </w:num>
  <w:num w:numId="97" w16cid:durableId="75008429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68"/>
  </w:num>
  <w:num w:numId="99" w16cid:durableId="13503755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47"/>
  </w:num>
  <w:num w:numId="102" w16cid:durableId="151604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20"/>
  </w:num>
  <w:num w:numId="104" w16cid:durableId="205916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9"/>
  </w:num>
  <w:num w:numId="108" w16cid:durableId="1321347882">
    <w:abstractNumId w:val="43"/>
  </w:num>
  <w:num w:numId="109" w16cid:durableId="706176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64"/>
  </w:num>
  <w:num w:numId="113" w16cid:durableId="3864181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32"/>
  </w:num>
  <w:num w:numId="119" w16cid:durableId="2573013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30"/>
  </w:num>
  <w:num w:numId="127" w16cid:durableId="115174708">
    <w:abstractNumId w:val="53"/>
  </w:num>
  <w:num w:numId="128" w16cid:durableId="1469128560">
    <w:abstractNumId w:val="52"/>
  </w:num>
  <w:num w:numId="129" w16cid:durableId="1992171210">
    <w:abstractNumId w:val="156"/>
  </w:num>
  <w:num w:numId="130" w16cid:durableId="2054764388">
    <w:abstractNumId w:val="82"/>
  </w:num>
  <w:num w:numId="131" w16cid:durableId="1355226202">
    <w:abstractNumId w:val="127"/>
  </w:num>
  <w:num w:numId="132" w16cid:durableId="514999555">
    <w:abstractNumId w:val="100"/>
  </w:num>
  <w:num w:numId="133" w16cid:durableId="321012084">
    <w:abstractNumId w:val="80"/>
  </w:num>
  <w:num w:numId="134" w16cid:durableId="784079050">
    <w:abstractNumId w:val="70"/>
  </w:num>
  <w:num w:numId="135" w16cid:durableId="640427112">
    <w:abstractNumId w:val="143"/>
  </w:num>
  <w:num w:numId="136" w16cid:durableId="386496437">
    <w:abstractNumId w:val="71"/>
  </w:num>
  <w:num w:numId="137" w16cid:durableId="75172109">
    <w:abstractNumId w:val="171"/>
  </w:num>
  <w:num w:numId="138" w16cid:durableId="1942492443">
    <w:abstractNumId w:val="154"/>
  </w:num>
  <w:num w:numId="139" w16cid:durableId="332031519">
    <w:abstractNumId w:val="18"/>
  </w:num>
  <w:num w:numId="140" w16cid:durableId="2088459379">
    <w:abstractNumId w:val="184"/>
  </w:num>
  <w:num w:numId="141" w16cid:durableId="1219128946">
    <w:abstractNumId w:val="129"/>
  </w:num>
  <w:num w:numId="142" w16cid:durableId="449931367">
    <w:abstractNumId w:val="34"/>
  </w:num>
  <w:num w:numId="143" w16cid:durableId="1286276055">
    <w:abstractNumId w:val="159"/>
  </w:num>
  <w:num w:numId="144" w16cid:durableId="1571429465">
    <w:abstractNumId w:val="149"/>
  </w:num>
  <w:num w:numId="145" w16cid:durableId="205874366">
    <w:abstractNumId w:val="16"/>
  </w:num>
  <w:num w:numId="146" w16cid:durableId="2146579818">
    <w:abstractNumId w:val="135"/>
  </w:num>
  <w:num w:numId="147" w16cid:durableId="538400348">
    <w:abstractNumId w:val="144"/>
  </w:num>
  <w:num w:numId="148" w16cid:durableId="847259122">
    <w:abstractNumId w:val="181"/>
  </w:num>
  <w:num w:numId="149" w16cid:durableId="1712340943">
    <w:abstractNumId w:val="182"/>
  </w:num>
  <w:num w:numId="150" w16cid:durableId="1984851608">
    <w:abstractNumId w:val="22"/>
  </w:num>
  <w:num w:numId="151" w16cid:durableId="548416172">
    <w:abstractNumId w:val="65"/>
  </w:num>
  <w:num w:numId="152" w16cid:durableId="175660670">
    <w:abstractNumId w:val="150"/>
  </w:num>
  <w:num w:numId="153" w16cid:durableId="2120489992">
    <w:abstractNumId w:val="151"/>
  </w:num>
  <w:num w:numId="154" w16cid:durableId="386729409">
    <w:abstractNumId w:val="97"/>
  </w:num>
  <w:num w:numId="155" w16cid:durableId="1389646386">
    <w:abstractNumId w:val="33"/>
  </w:num>
  <w:num w:numId="156" w16cid:durableId="827406297">
    <w:abstractNumId w:val="87"/>
  </w:num>
  <w:num w:numId="157" w16cid:durableId="103160620">
    <w:abstractNumId w:val="114"/>
  </w:num>
  <w:num w:numId="158" w16cid:durableId="442379316">
    <w:abstractNumId w:val="27"/>
  </w:num>
  <w:num w:numId="159" w16cid:durableId="1054155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17"/>
  </w:num>
  <w:num w:numId="161" w16cid:durableId="40248656">
    <w:abstractNumId w:val="102"/>
  </w:num>
  <w:num w:numId="162" w16cid:durableId="1030184436">
    <w:abstractNumId w:val="104"/>
  </w:num>
  <w:num w:numId="163" w16cid:durableId="1862160021">
    <w:abstractNumId w:val="0"/>
  </w:num>
  <w:num w:numId="164" w16cid:durableId="1395157165">
    <w:abstractNumId w:val="5"/>
  </w:num>
  <w:num w:numId="165" w16cid:durableId="885067263">
    <w:abstractNumId w:val="35"/>
  </w:num>
  <w:num w:numId="166" w16cid:durableId="564678557">
    <w:abstractNumId w:val="172"/>
  </w:num>
  <w:num w:numId="167" w16cid:durableId="710424673">
    <w:abstractNumId w:val="51"/>
  </w:num>
  <w:num w:numId="168" w16cid:durableId="1666517187">
    <w:abstractNumId w:val="122"/>
  </w:num>
  <w:num w:numId="169" w16cid:durableId="274602577">
    <w:abstractNumId w:val="108"/>
  </w:num>
  <w:num w:numId="170" w16cid:durableId="1556815694">
    <w:abstractNumId w:val="179"/>
  </w:num>
  <w:num w:numId="171" w16cid:durableId="729502620">
    <w:abstractNumId w:val="89"/>
  </w:num>
  <w:num w:numId="172" w16cid:durableId="1806005465">
    <w:abstractNumId w:val="152"/>
  </w:num>
  <w:num w:numId="173" w16cid:durableId="2014795005">
    <w:abstractNumId w:val="58"/>
  </w:num>
  <w:num w:numId="174" w16cid:durableId="1180462763">
    <w:abstractNumId w:val="139"/>
  </w:num>
  <w:num w:numId="175" w16cid:durableId="1987783322">
    <w:abstractNumId w:val="74"/>
  </w:num>
  <w:num w:numId="176" w16cid:durableId="1467970125">
    <w:abstractNumId w:val="96"/>
  </w:num>
  <w:num w:numId="177" w16cid:durableId="419256446">
    <w:abstractNumId w:val="45"/>
  </w:num>
  <w:num w:numId="178" w16cid:durableId="596405308">
    <w:abstractNumId w:val="174"/>
  </w:num>
  <w:num w:numId="179" w16cid:durableId="1093433094">
    <w:abstractNumId w:val="145"/>
  </w:num>
  <w:num w:numId="180" w16cid:durableId="442723773">
    <w:abstractNumId w:val="84"/>
  </w:num>
  <w:num w:numId="181" w16cid:durableId="971135503">
    <w:abstractNumId w:val="6"/>
  </w:num>
  <w:num w:numId="182" w16cid:durableId="583878871">
    <w:abstractNumId w:val="123"/>
  </w:num>
  <w:num w:numId="183" w16cid:durableId="1190948820">
    <w:abstractNumId w:val="131"/>
  </w:num>
  <w:num w:numId="184" w16cid:durableId="1507133432">
    <w:abstractNumId w:val="178"/>
  </w:num>
  <w:num w:numId="185" w16cid:durableId="1051658798">
    <w:abstractNumId w:val="78"/>
  </w:num>
  <w:num w:numId="186" w16cid:durableId="607087395">
    <w:abstractNumId w:val="146"/>
  </w:num>
  <w:num w:numId="187" w16cid:durableId="262154049">
    <w:abstractNumId w:val="55"/>
  </w:num>
  <w:num w:numId="188" w16cid:durableId="799346151">
    <w:abstractNumId w:val="133"/>
  </w:num>
  <w:num w:numId="189" w16cid:durableId="1331711043">
    <w:abstractNumId w:val="161"/>
  </w:num>
  <w:num w:numId="190" w16cid:durableId="181293870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180"/>
    <w:rsid w:val="00011D2F"/>
    <w:rsid w:val="00013DE5"/>
    <w:rsid w:val="000140D7"/>
    <w:rsid w:val="00014E50"/>
    <w:rsid w:val="00016FE3"/>
    <w:rsid w:val="000227EF"/>
    <w:rsid w:val="00022DAD"/>
    <w:rsid w:val="000243D9"/>
    <w:rsid w:val="0002598F"/>
    <w:rsid w:val="000261AF"/>
    <w:rsid w:val="00030FAA"/>
    <w:rsid w:val="00034A74"/>
    <w:rsid w:val="00035967"/>
    <w:rsid w:val="00036E5B"/>
    <w:rsid w:val="00040DC8"/>
    <w:rsid w:val="00041079"/>
    <w:rsid w:val="000421DD"/>
    <w:rsid w:val="000450EC"/>
    <w:rsid w:val="00045FC0"/>
    <w:rsid w:val="000461EE"/>
    <w:rsid w:val="00047118"/>
    <w:rsid w:val="00050A2C"/>
    <w:rsid w:val="00050ADD"/>
    <w:rsid w:val="00055654"/>
    <w:rsid w:val="00055A66"/>
    <w:rsid w:val="00055A7F"/>
    <w:rsid w:val="00056ED2"/>
    <w:rsid w:val="000608FB"/>
    <w:rsid w:val="00061F39"/>
    <w:rsid w:val="00063753"/>
    <w:rsid w:val="00063802"/>
    <w:rsid w:val="000719CB"/>
    <w:rsid w:val="00072C1A"/>
    <w:rsid w:val="00073713"/>
    <w:rsid w:val="0008162E"/>
    <w:rsid w:val="00086750"/>
    <w:rsid w:val="00092D28"/>
    <w:rsid w:val="00096450"/>
    <w:rsid w:val="000971FA"/>
    <w:rsid w:val="00097A42"/>
    <w:rsid w:val="000A2797"/>
    <w:rsid w:val="000A40AA"/>
    <w:rsid w:val="000A68F2"/>
    <w:rsid w:val="000A6ABC"/>
    <w:rsid w:val="000A72C0"/>
    <w:rsid w:val="000A7A40"/>
    <w:rsid w:val="000B2FAD"/>
    <w:rsid w:val="000B473F"/>
    <w:rsid w:val="000B60E8"/>
    <w:rsid w:val="000B7C38"/>
    <w:rsid w:val="000C309D"/>
    <w:rsid w:val="000C4623"/>
    <w:rsid w:val="000C478D"/>
    <w:rsid w:val="000C50F6"/>
    <w:rsid w:val="000C62F1"/>
    <w:rsid w:val="000D1278"/>
    <w:rsid w:val="000D6B18"/>
    <w:rsid w:val="000D72BC"/>
    <w:rsid w:val="000E2273"/>
    <w:rsid w:val="000E3002"/>
    <w:rsid w:val="000E568E"/>
    <w:rsid w:val="000E7DAA"/>
    <w:rsid w:val="000F0B16"/>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2600"/>
    <w:rsid w:val="00142769"/>
    <w:rsid w:val="0014388E"/>
    <w:rsid w:val="00143BEB"/>
    <w:rsid w:val="00144A94"/>
    <w:rsid w:val="001465AF"/>
    <w:rsid w:val="0015102A"/>
    <w:rsid w:val="00151F4A"/>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8501C"/>
    <w:rsid w:val="00191187"/>
    <w:rsid w:val="00191481"/>
    <w:rsid w:val="001919D6"/>
    <w:rsid w:val="00192502"/>
    <w:rsid w:val="001927A3"/>
    <w:rsid w:val="0019610D"/>
    <w:rsid w:val="001979E4"/>
    <w:rsid w:val="001A0EF6"/>
    <w:rsid w:val="001A1EC5"/>
    <w:rsid w:val="001A68B8"/>
    <w:rsid w:val="001A6F82"/>
    <w:rsid w:val="001A7174"/>
    <w:rsid w:val="001B2B56"/>
    <w:rsid w:val="001B6B31"/>
    <w:rsid w:val="001B6D5D"/>
    <w:rsid w:val="001B71EB"/>
    <w:rsid w:val="001B7AB7"/>
    <w:rsid w:val="001B7EA8"/>
    <w:rsid w:val="001C2255"/>
    <w:rsid w:val="001C511D"/>
    <w:rsid w:val="001C5713"/>
    <w:rsid w:val="001D1270"/>
    <w:rsid w:val="001D2BAA"/>
    <w:rsid w:val="001D55D5"/>
    <w:rsid w:val="001D66AF"/>
    <w:rsid w:val="001E4E74"/>
    <w:rsid w:val="001E5355"/>
    <w:rsid w:val="001E6213"/>
    <w:rsid w:val="001F0037"/>
    <w:rsid w:val="001F05C7"/>
    <w:rsid w:val="001F14B9"/>
    <w:rsid w:val="001F22AF"/>
    <w:rsid w:val="00200F1B"/>
    <w:rsid w:val="0020579C"/>
    <w:rsid w:val="00207307"/>
    <w:rsid w:val="00210794"/>
    <w:rsid w:val="00210965"/>
    <w:rsid w:val="0021140B"/>
    <w:rsid w:val="00211912"/>
    <w:rsid w:val="00212B93"/>
    <w:rsid w:val="00213897"/>
    <w:rsid w:val="002144D9"/>
    <w:rsid w:val="00224298"/>
    <w:rsid w:val="00225D41"/>
    <w:rsid w:val="00227091"/>
    <w:rsid w:val="00227342"/>
    <w:rsid w:val="0023070A"/>
    <w:rsid w:val="00232D63"/>
    <w:rsid w:val="002377E5"/>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403B"/>
    <w:rsid w:val="002841B3"/>
    <w:rsid w:val="00286395"/>
    <w:rsid w:val="002914A1"/>
    <w:rsid w:val="002954FC"/>
    <w:rsid w:val="002A0C94"/>
    <w:rsid w:val="002A0FAF"/>
    <w:rsid w:val="002A1292"/>
    <w:rsid w:val="002A32F6"/>
    <w:rsid w:val="002A7462"/>
    <w:rsid w:val="002B2F3E"/>
    <w:rsid w:val="002B3497"/>
    <w:rsid w:val="002B7807"/>
    <w:rsid w:val="002B785F"/>
    <w:rsid w:val="002C054E"/>
    <w:rsid w:val="002C3703"/>
    <w:rsid w:val="002C5BC6"/>
    <w:rsid w:val="002D002E"/>
    <w:rsid w:val="002D1B99"/>
    <w:rsid w:val="002D1BD6"/>
    <w:rsid w:val="002D2925"/>
    <w:rsid w:val="002D2F3B"/>
    <w:rsid w:val="002D3F80"/>
    <w:rsid w:val="002D6348"/>
    <w:rsid w:val="002D6DB9"/>
    <w:rsid w:val="002E0650"/>
    <w:rsid w:val="002E4034"/>
    <w:rsid w:val="002F47A8"/>
    <w:rsid w:val="002F5E3F"/>
    <w:rsid w:val="0030177D"/>
    <w:rsid w:val="00301D0B"/>
    <w:rsid w:val="003027B4"/>
    <w:rsid w:val="003027B8"/>
    <w:rsid w:val="00302E27"/>
    <w:rsid w:val="00304EC2"/>
    <w:rsid w:val="0030627B"/>
    <w:rsid w:val="003063F4"/>
    <w:rsid w:val="00311749"/>
    <w:rsid w:val="0031285F"/>
    <w:rsid w:val="00313111"/>
    <w:rsid w:val="003134D7"/>
    <w:rsid w:val="00314D4A"/>
    <w:rsid w:val="00315BDB"/>
    <w:rsid w:val="00316B70"/>
    <w:rsid w:val="00320441"/>
    <w:rsid w:val="00323616"/>
    <w:rsid w:val="00325A95"/>
    <w:rsid w:val="00330E1E"/>
    <w:rsid w:val="00331B37"/>
    <w:rsid w:val="00336182"/>
    <w:rsid w:val="003375B3"/>
    <w:rsid w:val="0035106B"/>
    <w:rsid w:val="0035257C"/>
    <w:rsid w:val="00353F97"/>
    <w:rsid w:val="00363E39"/>
    <w:rsid w:val="003646DB"/>
    <w:rsid w:val="00365019"/>
    <w:rsid w:val="003803AD"/>
    <w:rsid w:val="0038051B"/>
    <w:rsid w:val="003809B6"/>
    <w:rsid w:val="00382F0D"/>
    <w:rsid w:val="0038349A"/>
    <w:rsid w:val="003855D3"/>
    <w:rsid w:val="0038619E"/>
    <w:rsid w:val="0038748F"/>
    <w:rsid w:val="00391EF8"/>
    <w:rsid w:val="00391FF3"/>
    <w:rsid w:val="003937A1"/>
    <w:rsid w:val="00393C93"/>
    <w:rsid w:val="00394BC9"/>
    <w:rsid w:val="003A60AA"/>
    <w:rsid w:val="003A6E6F"/>
    <w:rsid w:val="003A790F"/>
    <w:rsid w:val="003B4B1A"/>
    <w:rsid w:val="003B6A70"/>
    <w:rsid w:val="003B78CB"/>
    <w:rsid w:val="003C28EF"/>
    <w:rsid w:val="003D2CE4"/>
    <w:rsid w:val="003D4F64"/>
    <w:rsid w:val="003D6978"/>
    <w:rsid w:val="003E143E"/>
    <w:rsid w:val="003E171D"/>
    <w:rsid w:val="003E3542"/>
    <w:rsid w:val="003E40C1"/>
    <w:rsid w:val="003E435C"/>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1FB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3179"/>
    <w:rsid w:val="004846CD"/>
    <w:rsid w:val="004910BE"/>
    <w:rsid w:val="00496C17"/>
    <w:rsid w:val="004A24FB"/>
    <w:rsid w:val="004A2C5F"/>
    <w:rsid w:val="004A47DF"/>
    <w:rsid w:val="004A5A5A"/>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1363"/>
    <w:rsid w:val="004E2DCA"/>
    <w:rsid w:val="004E3586"/>
    <w:rsid w:val="004E3A51"/>
    <w:rsid w:val="004E74DA"/>
    <w:rsid w:val="004F1EF6"/>
    <w:rsid w:val="004F4402"/>
    <w:rsid w:val="004F69A0"/>
    <w:rsid w:val="004F6F09"/>
    <w:rsid w:val="00500CF2"/>
    <w:rsid w:val="00501590"/>
    <w:rsid w:val="00501BDA"/>
    <w:rsid w:val="005078D6"/>
    <w:rsid w:val="00510928"/>
    <w:rsid w:val="00510F00"/>
    <w:rsid w:val="0051321A"/>
    <w:rsid w:val="005142DD"/>
    <w:rsid w:val="00515334"/>
    <w:rsid w:val="00520927"/>
    <w:rsid w:val="00522470"/>
    <w:rsid w:val="00523D35"/>
    <w:rsid w:val="00523F24"/>
    <w:rsid w:val="005241E5"/>
    <w:rsid w:val="0052422A"/>
    <w:rsid w:val="005272EF"/>
    <w:rsid w:val="00530243"/>
    <w:rsid w:val="00530B7F"/>
    <w:rsid w:val="00533C38"/>
    <w:rsid w:val="00536F1B"/>
    <w:rsid w:val="00542AC9"/>
    <w:rsid w:val="00542DED"/>
    <w:rsid w:val="00544182"/>
    <w:rsid w:val="00545BDD"/>
    <w:rsid w:val="00547E22"/>
    <w:rsid w:val="00554795"/>
    <w:rsid w:val="00554C31"/>
    <w:rsid w:val="0055788C"/>
    <w:rsid w:val="00560C1D"/>
    <w:rsid w:val="00560E2A"/>
    <w:rsid w:val="005610CE"/>
    <w:rsid w:val="00563FB2"/>
    <w:rsid w:val="00581685"/>
    <w:rsid w:val="00582846"/>
    <w:rsid w:val="005837C8"/>
    <w:rsid w:val="005849E1"/>
    <w:rsid w:val="00585969"/>
    <w:rsid w:val="0058619B"/>
    <w:rsid w:val="00590C3B"/>
    <w:rsid w:val="00590DDA"/>
    <w:rsid w:val="00592610"/>
    <w:rsid w:val="005943F5"/>
    <w:rsid w:val="005954AB"/>
    <w:rsid w:val="00596E8A"/>
    <w:rsid w:val="00597D21"/>
    <w:rsid w:val="005A107D"/>
    <w:rsid w:val="005A2560"/>
    <w:rsid w:val="005A2737"/>
    <w:rsid w:val="005A50DC"/>
    <w:rsid w:val="005A6CCC"/>
    <w:rsid w:val="005B1A02"/>
    <w:rsid w:val="005B3CB9"/>
    <w:rsid w:val="005B55E0"/>
    <w:rsid w:val="005B7874"/>
    <w:rsid w:val="005C2366"/>
    <w:rsid w:val="005C4DED"/>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793"/>
    <w:rsid w:val="005F59F2"/>
    <w:rsid w:val="005F687E"/>
    <w:rsid w:val="005F7B80"/>
    <w:rsid w:val="00605DB2"/>
    <w:rsid w:val="006114E6"/>
    <w:rsid w:val="006138EE"/>
    <w:rsid w:val="00614C54"/>
    <w:rsid w:val="00614E24"/>
    <w:rsid w:val="00615365"/>
    <w:rsid w:val="00617649"/>
    <w:rsid w:val="006176B2"/>
    <w:rsid w:val="00617E88"/>
    <w:rsid w:val="00620B23"/>
    <w:rsid w:val="00621A16"/>
    <w:rsid w:val="00621C8E"/>
    <w:rsid w:val="00622EDA"/>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7822"/>
    <w:rsid w:val="00657E30"/>
    <w:rsid w:val="00664364"/>
    <w:rsid w:val="0066452D"/>
    <w:rsid w:val="00665E8D"/>
    <w:rsid w:val="00671AC9"/>
    <w:rsid w:val="006727B2"/>
    <w:rsid w:val="0067289B"/>
    <w:rsid w:val="006733B0"/>
    <w:rsid w:val="00673402"/>
    <w:rsid w:val="0067370B"/>
    <w:rsid w:val="006765F2"/>
    <w:rsid w:val="00680E52"/>
    <w:rsid w:val="00682A59"/>
    <w:rsid w:val="00682ECA"/>
    <w:rsid w:val="0068526C"/>
    <w:rsid w:val="00686CDE"/>
    <w:rsid w:val="006874F7"/>
    <w:rsid w:val="00690CFB"/>
    <w:rsid w:val="0069525B"/>
    <w:rsid w:val="00697F60"/>
    <w:rsid w:val="006A1C0D"/>
    <w:rsid w:val="006A1D8C"/>
    <w:rsid w:val="006A45F1"/>
    <w:rsid w:val="006A79B0"/>
    <w:rsid w:val="006B08DC"/>
    <w:rsid w:val="006B3285"/>
    <w:rsid w:val="006B3E45"/>
    <w:rsid w:val="006B45A1"/>
    <w:rsid w:val="006B4D3A"/>
    <w:rsid w:val="006B69C2"/>
    <w:rsid w:val="006B6A37"/>
    <w:rsid w:val="006D22B7"/>
    <w:rsid w:val="006D3929"/>
    <w:rsid w:val="006D3933"/>
    <w:rsid w:val="006D4C8B"/>
    <w:rsid w:val="006D5B2D"/>
    <w:rsid w:val="006E14E2"/>
    <w:rsid w:val="006E46AD"/>
    <w:rsid w:val="006E5422"/>
    <w:rsid w:val="006E5EFC"/>
    <w:rsid w:val="006E6457"/>
    <w:rsid w:val="006F485C"/>
    <w:rsid w:val="006F764A"/>
    <w:rsid w:val="006F7B8A"/>
    <w:rsid w:val="00700BE9"/>
    <w:rsid w:val="00707E46"/>
    <w:rsid w:val="00710505"/>
    <w:rsid w:val="0071527C"/>
    <w:rsid w:val="007167FD"/>
    <w:rsid w:val="00720511"/>
    <w:rsid w:val="0072090D"/>
    <w:rsid w:val="00723734"/>
    <w:rsid w:val="00725F1B"/>
    <w:rsid w:val="0073307B"/>
    <w:rsid w:val="00733D25"/>
    <w:rsid w:val="00734EC1"/>
    <w:rsid w:val="007351BB"/>
    <w:rsid w:val="00737AD6"/>
    <w:rsid w:val="0074143E"/>
    <w:rsid w:val="00741B68"/>
    <w:rsid w:val="0074241F"/>
    <w:rsid w:val="007430AF"/>
    <w:rsid w:val="00743D19"/>
    <w:rsid w:val="0074504D"/>
    <w:rsid w:val="0074637E"/>
    <w:rsid w:val="00747868"/>
    <w:rsid w:val="00747959"/>
    <w:rsid w:val="007536C4"/>
    <w:rsid w:val="00755069"/>
    <w:rsid w:val="007571B9"/>
    <w:rsid w:val="00760F38"/>
    <w:rsid w:val="00762876"/>
    <w:rsid w:val="007641F6"/>
    <w:rsid w:val="007646E1"/>
    <w:rsid w:val="0076470D"/>
    <w:rsid w:val="00764A70"/>
    <w:rsid w:val="00771BAF"/>
    <w:rsid w:val="007753E1"/>
    <w:rsid w:val="00775445"/>
    <w:rsid w:val="007823D6"/>
    <w:rsid w:val="00782D43"/>
    <w:rsid w:val="00784FF1"/>
    <w:rsid w:val="00785CF1"/>
    <w:rsid w:val="007867BB"/>
    <w:rsid w:val="00787BC1"/>
    <w:rsid w:val="00792443"/>
    <w:rsid w:val="0079277E"/>
    <w:rsid w:val="00793362"/>
    <w:rsid w:val="0079385F"/>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D58D8"/>
    <w:rsid w:val="007E259E"/>
    <w:rsid w:val="007E7F35"/>
    <w:rsid w:val="007F39A7"/>
    <w:rsid w:val="007F3E9A"/>
    <w:rsid w:val="007F43B2"/>
    <w:rsid w:val="007F5046"/>
    <w:rsid w:val="007F583D"/>
    <w:rsid w:val="007F6172"/>
    <w:rsid w:val="00800E9F"/>
    <w:rsid w:val="0080136E"/>
    <w:rsid w:val="00805105"/>
    <w:rsid w:val="0080783A"/>
    <w:rsid w:val="00814543"/>
    <w:rsid w:val="00814725"/>
    <w:rsid w:val="008165E9"/>
    <w:rsid w:val="00816713"/>
    <w:rsid w:val="00817A50"/>
    <w:rsid w:val="00817F30"/>
    <w:rsid w:val="008227AD"/>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3429"/>
    <w:rsid w:val="00874E2D"/>
    <w:rsid w:val="00876496"/>
    <w:rsid w:val="00876B92"/>
    <w:rsid w:val="0088289C"/>
    <w:rsid w:val="008829CA"/>
    <w:rsid w:val="008830DE"/>
    <w:rsid w:val="00883364"/>
    <w:rsid w:val="00883A0F"/>
    <w:rsid w:val="00884F88"/>
    <w:rsid w:val="00886131"/>
    <w:rsid w:val="00893255"/>
    <w:rsid w:val="00896751"/>
    <w:rsid w:val="00897BF3"/>
    <w:rsid w:val="008A1AE5"/>
    <w:rsid w:val="008A2B17"/>
    <w:rsid w:val="008A4DCA"/>
    <w:rsid w:val="008A6897"/>
    <w:rsid w:val="008A7848"/>
    <w:rsid w:val="008B062E"/>
    <w:rsid w:val="008B2B03"/>
    <w:rsid w:val="008B4028"/>
    <w:rsid w:val="008B50BF"/>
    <w:rsid w:val="008B588B"/>
    <w:rsid w:val="008B6FCB"/>
    <w:rsid w:val="008C118E"/>
    <w:rsid w:val="008C17EB"/>
    <w:rsid w:val="008C1C94"/>
    <w:rsid w:val="008D3F6C"/>
    <w:rsid w:val="008D5DA7"/>
    <w:rsid w:val="008E0F31"/>
    <w:rsid w:val="008F404E"/>
    <w:rsid w:val="008F4FCF"/>
    <w:rsid w:val="008F69D2"/>
    <w:rsid w:val="00916426"/>
    <w:rsid w:val="00917044"/>
    <w:rsid w:val="00917CAC"/>
    <w:rsid w:val="00921040"/>
    <w:rsid w:val="00922947"/>
    <w:rsid w:val="00926E1D"/>
    <w:rsid w:val="00931709"/>
    <w:rsid w:val="00933004"/>
    <w:rsid w:val="009342F2"/>
    <w:rsid w:val="009344E4"/>
    <w:rsid w:val="00934EEC"/>
    <w:rsid w:val="009358F0"/>
    <w:rsid w:val="009362EC"/>
    <w:rsid w:val="00937616"/>
    <w:rsid w:val="0094472C"/>
    <w:rsid w:val="00951AB0"/>
    <w:rsid w:val="009528CD"/>
    <w:rsid w:val="00956872"/>
    <w:rsid w:val="00961DCC"/>
    <w:rsid w:val="0096336F"/>
    <w:rsid w:val="00967A39"/>
    <w:rsid w:val="00967BC8"/>
    <w:rsid w:val="00971B3F"/>
    <w:rsid w:val="009734DA"/>
    <w:rsid w:val="00980980"/>
    <w:rsid w:val="009843E3"/>
    <w:rsid w:val="009927E4"/>
    <w:rsid w:val="00992A6E"/>
    <w:rsid w:val="00994201"/>
    <w:rsid w:val="009A27C3"/>
    <w:rsid w:val="009A3374"/>
    <w:rsid w:val="009A4AE3"/>
    <w:rsid w:val="009A5699"/>
    <w:rsid w:val="009A711B"/>
    <w:rsid w:val="009B0F40"/>
    <w:rsid w:val="009B10C7"/>
    <w:rsid w:val="009B282B"/>
    <w:rsid w:val="009B2AEA"/>
    <w:rsid w:val="009B32BC"/>
    <w:rsid w:val="009B4836"/>
    <w:rsid w:val="009B709C"/>
    <w:rsid w:val="009B7AEF"/>
    <w:rsid w:val="009C29E0"/>
    <w:rsid w:val="009C5372"/>
    <w:rsid w:val="009D1B2E"/>
    <w:rsid w:val="009D4258"/>
    <w:rsid w:val="009D4DE2"/>
    <w:rsid w:val="009E1E6D"/>
    <w:rsid w:val="009E2EC2"/>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2DD4"/>
    <w:rsid w:val="00A2659A"/>
    <w:rsid w:val="00A3604E"/>
    <w:rsid w:val="00A362A9"/>
    <w:rsid w:val="00A37714"/>
    <w:rsid w:val="00A405AA"/>
    <w:rsid w:val="00A42877"/>
    <w:rsid w:val="00A460D5"/>
    <w:rsid w:val="00A50742"/>
    <w:rsid w:val="00A51D64"/>
    <w:rsid w:val="00A54B8A"/>
    <w:rsid w:val="00A57542"/>
    <w:rsid w:val="00A67D8B"/>
    <w:rsid w:val="00A70522"/>
    <w:rsid w:val="00A771D4"/>
    <w:rsid w:val="00A8197B"/>
    <w:rsid w:val="00A82654"/>
    <w:rsid w:val="00A92336"/>
    <w:rsid w:val="00A94524"/>
    <w:rsid w:val="00A97D87"/>
    <w:rsid w:val="00AA124A"/>
    <w:rsid w:val="00AA139E"/>
    <w:rsid w:val="00AB1DC3"/>
    <w:rsid w:val="00AB3159"/>
    <w:rsid w:val="00AB3317"/>
    <w:rsid w:val="00AB356F"/>
    <w:rsid w:val="00AB4EED"/>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72EB"/>
    <w:rsid w:val="00B10F18"/>
    <w:rsid w:val="00B12CF6"/>
    <w:rsid w:val="00B13A70"/>
    <w:rsid w:val="00B13D7B"/>
    <w:rsid w:val="00B21E6D"/>
    <w:rsid w:val="00B25109"/>
    <w:rsid w:val="00B25509"/>
    <w:rsid w:val="00B2686C"/>
    <w:rsid w:val="00B31B53"/>
    <w:rsid w:val="00B33573"/>
    <w:rsid w:val="00B34F38"/>
    <w:rsid w:val="00B35D24"/>
    <w:rsid w:val="00B36B1B"/>
    <w:rsid w:val="00B4625D"/>
    <w:rsid w:val="00B4666A"/>
    <w:rsid w:val="00B4763A"/>
    <w:rsid w:val="00B5030B"/>
    <w:rsid w:val="00B508E7"/>
    <w:rsid w:val="00B52415"/>
    <w:rsid w:val="00B57564"/>
    <w:rsid w:val="00B61B7D"/>
    <w:rsid w:val="00B61DF3"/>
    <w:rsid w:val="00B628AA"/>
    <w:rsid w:val="00B62FFD"/>
    <w:rsid w:val="00B63C44"/>
    <w:rsid w:val="00B65F0C"/>
    <w:rsid w:val="00B66F84"/>
    <w:rsid w:val="00B719CE"/>
    <w:rsid w:val="00B729A0"/>
    <w:rsid w:val="00B73C79"/>
    <w:rsid w:val="00B7439D"/>
    <w:rsid w:val="00B76AC4"/>
    <w:rsid w:val="00B82A2C"/>
    <w:rsid w:val="00B83DA2"/>
    <w:rsid w:val="00B85262"/>
    <w:rsid w:val="00B91335"/>
    <w:rsid w:val="00B91ED3"/>
    <w:rsid w:val="00B920E5"/>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27DC"/>
    <w:rsid w:val="00BC2C47"/>
    <w:rsid w:val="00BC2F0D"/>
    <w:rsid w:val="00BC2F78"/>
    <w:rsid w:val="00BC5788"/>
    <w:rsid w:val="00BC5DCA"/>
    <w:rsid w:val="00BC6331"/>
    <w:rsid w:val="00BD1050"/>
    <w:rsid w:val="00BE3E36"/>
    <w:rsid w:val="00BE4757"/>
    <w:rsid w:val="00BE569F"/>
    <w:rsid w:val="00BE698C"/>
    <w:rsid w:val="00BE6F03"/>
    <w:rsid w:val="00BE7E93"/>
    <w:rsid w:val="00BF0C8F"/>
    <w:rsid w:val="00BF15DE"/>
    <w:rsid w:val="00BF3F2E"/>
    <w:rsid w:val="00C00863"/>
    <w:rsid w:val="00C00CD9"/>
    <w:rsid w:val="00C03FBB"/>
    <w:rsid w:val="00C04352"/>
    <w:rsid w:val="00C05602"/>
    <w:rsid w:val="00C06D6B"/>
    <w:rsid w:val="00C13BD3"/>
    <w:rsid w:val="00C15E7E"/>
    <w:rsid w:val="00C2530F"/>
    <w:rsid w:val="00C256C0"/>
    <w:rsid w:val="00C2724E"/>
    <w:rsid w:val="00C36842"/>
    <w:rsid w:val="00C36846"/>
    <w:rsid w:val="00C408F8"/>
    <w:rsid w:val="00C410E4"/>
    <w:rsid w:val="00C44F07"/>
    <w:rsid w:val="00C450C2"/>
    <w:rsid w:val="00C47DA9"/>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41CC"/>
    <w:rsid w:val="00C7665C"/>
    <w:rsid w:val="00C76799"/>
    <w:rsid w:val="00C84DE1"/>
    <w:rsid w:val="00C87A03"/>
    <w:rsid w:val="00C904D2"/>
    <w:rsid w:val="00C90541"/>
    <w:rsid w:val="00C907C0"/>
    <w:rsid w:val="00C90ABE"/>
    <w:rsid w:val="00C9264B"/>
    <w:rsid w:val="00C92D96"/>
    <w:rsid w:val="00C95639"/>
    <w:rsid w:val="00C95A7C"/>
    <w:rsid w:val="00C96ED1"/>
    <w:rsid w:val="00C97E14"/>
    <w:rsid w:val="00CA50F9"/>
    <w:rsid w:val="00CB3430"/>
    <w:rsid w:val="00CB35C2"/>
    <w:rsid w:val="00CB4C18"/>
    <w:rsid w:val="00CB5E13"/>
    <w:rsid w:val="00CB78F7"/>
    <w:rsid w:val="00CC1949"/>
    <w:rsid w:val="00CC2857"/>
    <w:rsid w:val="00CC5105"/>
    <w:rsid w:val="00CC594F"/>
    <w:rsid w:val="00CC5C5C"/>
    <w:rsid w:val="00CD27EE"/>
    <w:rsid w:val="00CD5055"/>
    <w:rsid w:val="00CD75BA"/>
    <w:rsid w:val="00CE1DB4"/>
    <w:rsid w:val="00CE433A"/>
    <w:rsid w:val="00CE501D"/>
    <w:rsid w:val="00CE5734"/>
    <w:rsid w:val="00CE5AA5"/>
    <w:rsid w:val="00CE65B4"/>
    <w:rsid w:val="00CF043D"/>
    <w:rsid w:val="00CF48BA"/>
    <w:rsid w:val="00D00432"/>
    <w:rsid w:val="00D0283D"/>
    <w:rsid w:val="00D03856"/>
    <w:rsid w:val="00D0751C"/>
    <w:rsid w:val="00D101DD"/>
    <w:rsid w:val="00D12396"/>
    <w:rsid w:val="00D14228"/>
    <w:rsid w:val="00D1461E"/>
    <w:rsid w:val="00D15562"/>
    <w:rsid w:val="00D20784"/>
    <w:rsid w:val="00D22292"/>
    <w:rsid w:val="00D2260C"/>
    <w:rsid w:val="00D258B9"/>
    <w:rsid w:val="00D25B90"/>
    <w:rsid w:val="00D3008A"/>
    <w:rsid w:val="00D3084E"/>
    <w:rsid w:val="00D30C0B"/>
    <w:rsid w:val="00D34D59"/>
    <w:rsid w:val="00D4480F"/>
    <w:rsid w:val="00D44964"/>
    <w:rsid w:val="00D463AF"/>
    <w:rsid w:val="00D4777D"/>
    <w:rsid w:val="00D47E2B"/>
    <w:rsid w:val="00D53E37"/>
    <w:rsid w:val="00D555F9"/>
    <w:rsid w:val="00D61DBF"/>
    <w:rsid w:val="00D62EBC"/>
    <w:rsid w:val="00D665CA"/>
    <w:rsid w:val="00D711EF"/>
    <w:rsid w:val="00D75A43"/>
    <w:rsid w:val="00D761FD"/>
    <w:rsid w:val="00D81A6D"/>
    <w:rsid w:val="00D84364"/>
    <w:rsid w:val="00D84528"/>
    <w:rsid w:val="00D870F0"/>
    <w:rsid w:val="00D872A0"/>
    <w:rsid w:val="00D910AB"/>
    <w:rsid w:val="00D9387A"/>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F3BD9"/>
    <w:rsid w:val="00DF4A79"/>
    <w:rsid w:val="00DF4C87"/>
    <w:rsid w:val="00DF5C6C"/>
    <w:rsid w:val="00E01E2D"/>
    <w:rsid w:val="00E04AA9"/>
    <w:rsid w:val="00E06B7B"/>
    <w:rsid w:val="00E06E1A"/>
    <w:rsid w:val="00E0716A"/>
    <w:rsid w:val="00E118EB"/>
    <w:rsid w:val="00E173A4"/>
    <w:rsid w:val="00E201CC"/>
    <w:rsid w:val="00E21733"/>
    <w:rsid w:val="00E327E1"/>
    <w:rsid w:val="00E3316A"/>
    <w:rsid w:val="00E332EA"/>
    <w:rsid w:val="00E36443"/>
    <w:rsid w:val="00E37F44"/>
    <w:rsid w:val="00E42FAB"/>
    <w:rsid w:val="00E43584"/>
    <w:rsid w:val="00E43F0C"/>
    <w:rsid w:val="00E44335"/>
    <w:rsid w:val="00E464B4"/>
    <w:rsid w:val="00E538DF"/>
    <w:rsid w:val="00E553DE"/>
    <w:rsid w:val="00E56422"/>
    <w:rsid w:val="00E6270F"/>
    <w:rsid w:val="00E659C8"/>
    <w:rsid w:val="00E70AFD"/>
    <w:rsid w:val="00E73027"/>
    <w:rsid w:val="00E75C3B"/>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2E8B"/>
    <w:rsid w:val="00F04CDB"/>
    <w:rsid w:val="00F04EA7"/>
    <w:rsid w:val="00F04EB6"/>
    <w:rsid w:val="00F10DA7"/>
    <w:rsid w:val="00F11C2A"/>
    <w:rsid w:val="00F1399F"/>
    <w:rsid w:val="00F15132"/>
    <w:rsid w:val="00F22746"/>
    <w:rsid w:val="00F24C2F"/>
    <w:rsid w:val="00F25986"/>
    <w:rsid w:val="00F26570"/>
    <w:rsid w:val="00F30FA2"/>
    <w:rsid w:val="00F32174"/>
    <w:rsid w:val="00F32CF9"/>
    <w:rsid w:val="00F353DC"/>
    <w:rsid w:val="00F41184"/>
    <w:rsid w:val="00F441FD"/>
    <w:rsid w:val="00F45423"/>
    <w:rsid w:val="00F5138A"/>
    <w:rsid w:val="00F51F23"/>
    <w:rsid w:val="00F53F85"/>
    <w:rsid w:val="00F57F38"/>
    <w:rsid w:val="00F603D7"/>
    <w:rsid w:val="00F612F7"/>
    <w:rsid w:val="00F664FA"/>
    <w:rsid w:val="00F679CE"/>
    <w:rsid w:val="00F71A35"/>
    <w:rsid w:val="00F72A14"/>
    <w:rsid w:val="00F746E9"/>
    <w:rsid w:val="00F756AB"/>
    <w:rsid w:val="00F769DA"/>
    <w:rsid w:val="00F81397"/>
    <w:rsid w:val="00F82675"/>
    <w:rsid w:val="00F82B60"/>
    <w:rsid w:val="00F84F5C"/>
    <w:rsid w:val="00F86D19"/>
    <w:rsid w:val="00F870D9"/>
    <w:rsid w:val="00F930B1"/>
    <w:rsid w:val="00F95DDE"/>
    <w:rsid w:val="00F9672A"/>
    <w:rsid w:val="00F9768A"/>
    <w:rsid w:val="00FA0423"/>
    <w:rsid w:val="00FB0B42"/>
    <w:rsid w:val="00FB1ED2"/>
    <w:rsid w:val="00FB287D"/>
    <w:rsid w:val="00FB2EFD"/>
    <w:rsid w:val="00FB4B18"/>
    <w:rsid w:val="00FB5F2E"/>
    <w:rsid w:val="00FB641F"/>
    <w:rsid w:val="00FB64FF"/>
    <w:rsid w:val="00FB6AB3"/>
    <w:rsid w:val="00FC15E7"/>
    <w:rsid w:val="00FC2DF2"/>
    <w:rsid w:val="00FC379C"/>
    <w:rsid w:val="00FC54B3"/>
    <w:rsid w:val="00FC58D7"/>
    <w:rsid w:val="00FC5A48"/>
    <w:rsid w:val="00FC627B"/>
    <w:rsid w:val="00FC6DE7"/>
    <w:rsid w:val="00FD0D14"/>
    <w:rsid w:val="00FD1C58"/>
    <w:rsid w:val="00FD2E72"/>
    <w:rsid w:val="00FD3FC4"/>
    <w:rsid w:val="00FD56A0"/>
    <w:rsid w:val="00FD5A15"/>
    <w:rsid w:val="00FD7AE5"/>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1E6213"/>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1E6213"/>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paragraph" w:styleId="TOC2">
    <w:name w:val="toc 2"/>
    <w:basedOn w:val="Normal"/>
    <w:next w:val="Normal"/>
    <w:autoRedefine/>
    <w:uiPriority w:val="39"/>
    <w:unhideWhenUsed/>
    <w:rsid w:val="001E6213"/>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1E6213"/>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1E6213"/>
    <w:rPr>
      <w:rFonts w:eastAsia="Times New Roman" w:cstheme="minorHAnsi"/>
      <w:b/>
      <w:lang w:val="en-SG" w:eastAsia="zh-CN"/>
    </w:rPr>
  </w:style>
  <w:style w:type="character" w:customStyle="1" w:styleId="Heading2Char">
    <w:name w:val="Heading 2 Char"/>
    <w:basedOn w:val="DefaultParagraphFont"/>
    <w:link w:val="Heading2"/>
    <w:uiPriority w:val="9"/>
    <w:rsid w:val="001E6213"/>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p.dubai.gov.ae/Legislation%20Reference/2022/Law%20No.%20(4)%20of%202022%20Regulating%20Virtual%20Assets.html" TargetMode="External"/><Relationship Id="rId18" Type="http://schemas.openxmlformats.org/officeDocument/2006/relationships/hyperlink" Target="https://rulebooks.vara.ae/rulebook/virtual-assets-and-related-activities-regulations-2023" TargetMode="External"/><Relationship Id="rId26" Type="http://schemas.openxmlformats.org/officeDocument/2006/relationships/hyperlink" Target="https://rulebooks.vara.ae/rulebook/exchange-services-rulebook" TargetMode="External"/><Relationship Id="rId39" Type="http://schemas.openxmlformats.org/officeDocument/2006/relationships/hyperlink" Target="https://rulebooks.vara.ae/rulebook/regulations-marketing-virtual-assets-and-related-activities-2024" TargetMode="External"/><Relationship Id="rId21" Type="http://schemas.openxmlformats.org/officeDocument/2006/relationships/hyperlink" Target="https://rulebooks.vara.ae/rulebook/technology-and-information-rulebook" TargetMode="External"/><Relationship Id="rId34" Type="http://schemas.openxmlformats.org/officeDocument/2006/relationships/hyperlink" Target="https://www.sca.gov.ae/en/home.aspx" TargetMode="External"/><Relationship Id="rId42" Type="http://schemas.openxmlformats.org/officeDocument/2006/relationships/hyperlink" Target="https://www.thefinance360.com/aed-stablecoin-to-launch-uaes-first-aed-backed-stablecoin-ae-coin/" TargetMode="External"/><Relationship Id="rId47" Type="http://schemas.openxmlformats.org/officeDocument/2006/relationships/hyperlink" Target="https://www.unlock-bc.com/130674/vara-cracks-down-on-seven-unlicensed-firms-to-safeguard-dubais-virtual-asset-ecosyste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lebooks.vara.ae/sites/default/files/en_net_file_store/VARA_EN_341_VER1.pdf" TargetMode="External"/><Relationship Id="rId29" Type="http://schemas.openxmlformats.org/officeDocument/2006/relationships/hyperlink" Target="https://rulebooks.vara.ae/rulebook/va-transfer-and-settlement-services-rulebook" TargetMode="External"/><Relationship Id="rId11" Type="http://schemas.openxmlformats.org/officeDocument/2006/relationships/hyperlink" Target="https://www.difc.ae/" TargetMode="External"/><Relationship Id="rId24" Type="http://schemas.openxmlformats.org/officeDocument/2006/relationships/hyperlink" Target="https://rulebooks.vara.ae/rulebook/broker-dealer-services-rulebook" TargetMode="External"/><Relationship Id="rId32" Type="http://schemas.openxmlformats.org/officeDocument/2006/relationships/hyperlink" Target="https://www.dwtc.com/en/" TargetMode="External"/><Relationship Id="rId37" Type="http://schemas.openxmlformats.org/officeDocument/2006/relationships/hyperlink" Target="https://www.khaleejtimes.com/business/cryptocurrency/uae-exempts-vat-for-some-crypto-activities-heres-what-you-need-to-know" TargetMode="External"/><Relationship Id="rId40" Type="http://schemas.openxmlformats.org/officeDocument/2006/relationships/hyperlink" Target="https://rulebooks.vara.ae/rulebook/guidance-regulations-marketing-virtual-assets-and-related-activities-2024" TargetMode="External"/><Relationship Id="rId45" Type="http://schemas.openxmlformats.org/officeDocument/2006/relationships/hyperlink" Target="https://alketbilaw.com/news/dubai-appeals-court-upholds-compensatory-damages-f/"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rulebooks.vara.ae/rulebook/company-rulebook" TargetMode="External"/><Relationship Id="rId4" Type="http://schemas.openxmlformats.org/officeDocument/2006/relationships/settings" Target="settings.xml"/><Relationship Id="rId9" Type="http://schemas.openxmlformats.org/officeDocument/2006/relationships/hyperlink" Target="https://dlp.dubai.gov.ae/Legislation%20Reference/2022/Law%20No.%20(4)%20of%202022%20Regulating%20Virtual%20Assets.html" TargetMode="External"/><Relationship Id="rId14" Type="http://schemas.openxmlformats.org/officeDocument/2006/relationships/hyperlink" Target="https://www.sca.gov.ae/assets/d7a86b26/cabinet-resolution-no-111-of-2022-concerning-the-regulation-of-virtual-assets-and-their-service.aspx" TargetMode="External"/><Relationship Id="rId22" Type="http://schemas.openxmlformats.org/officeDocument/2006/relationships/hyperlink" Target="https://rulebooks.vara.ae/rulebook/market-conduct-rulebook" TargetMode="External"/><Relationship Id="rId27" Type="http://schemas.openxmlformats.org/officeDocument/2006/relationships/hyperlink" Target="https://rulebooks.vara.ae/rulebook/lending-and-borrowing-services-rulebook" TargetMode="External"/><Relationship Id="rId30" Type="http://schemas.openxmlformats.org/officeDocument/2006/relationships/hyperlink" Target="https://rulebooks.vara.ae/rulebook/virtual-asset-issuance-rulebook" TargetMode="External"/><Relationship Id="rId35" Type="http://schemas.openxmlformats.org/officeDocument/2006/relationships/hyperlink" Target="https://www.moec.gov.ae/en/home" TargetMode="External"/><Relationship Id="rId43" Type="http://schemas.openxmlformats.org/officeDocument/2006/relationships/hyperlink" Target="https://www.rakdao.com/" TargetMode="External"/><Relationship Id="rId48" Type="http://schemas.openxmlformats.org/officeDocument/2006/relationships/hyperlink" Target="https://www.unlock-bc.com/128448/sca-vara-introduce-new-licensing-rules-positive-step-for-vasps/" TargetMode="External"/><Relationship Id="rId56" Type="http://schemas.openxmlformats.org/officeDocument/2006/relationships/fontTable" Target="fontTable.xml"/><Relationship Id="rId8" Type="http://schemas.openxmlformats.org/officeDocument/2006/relationships/hyperlink" Target="https://charltonsquantum.com/dubai-virtual-assets-regulatio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eb.archive.org/web/20210303222825id_/https:/www.tujise.org/content/7-issues/15-8-1/a130/tujise-8.1-130.pdf" TargetMode="External"/><Relationship Id="rId17" Type="http://schemas.openxmlformats.org/officeDocument/2006/relationships/hyperlink" Target="https://rulebooks.vara.ae/sites/default/files/en_net_file_store/VARA_EN_342_VER1.pdf" TargetMode="External"/><Relationship Id="rId25" Type="http://schemas.openxmlformats.org/officeDocument/2006/relationships/hyperlink" Target="https://rulebooks.vara.ae/rulebook/custody-services-rulebook" TargetMode="External"/><Relationship Id="rId33" Type="http://schemas.openxmlformats.org/officeDocument/2006/relationships/hyperlink" Target="https://www.centralbank.ae/en/" TargetMode="External"/><Relationship Id="rId38" Type="http://schemas.openxmlformats.org/officeDocument/2006/relationships/hyperlink" Target="https://rulebooks.vara.ae/rulebook/regulations-marketing-virtual-assets-and-related-activities-2024" TargetMode="External"/><Relationship Id="rId46" Type="http://schemas.openxmlformats.org/officeDocument/2006/relationships/hyperlink" Target="https://coingeek.com/dubai-court-recognizes-employees-right-to-receive-salary-in-digital-assets/" TargetMode="External"/><Relationship Id="rId20" Type="http://schemas.openxmlformats.org/officeDocument/2006/relationships/hyperlink" Target="https://rulebooks.vara.ae/rulebook/compliance-and-risk-management-rulebook" TargetMode="External"/><Relationship Id="rId41" Type="http://schemas.openxmlformats.org/officeDocument/2006/relationships/hyperlink" Target="https://cryptotvplus.com/2024/10/dubais-crypto-authorities-tighten-restrictions-on-unauthorized-firm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lebooks.vara.ae/sites/default/files/en_net_file_store/VARA_EN_340_VER1.pdf" TargetMode="External"/><Relationship Id="rId23" Type="http://schemas.openxmlformats.org/officeDocument/2006/relationships/hyperlink" Target="https://rulebooks.vara.ae/rulebook/advisory-services-rulebook" TargetMode="External"/><Relationship Id="rId28" Type="http://schemas.openxmlformats.org/officeDocument/2006/relationships/hyperlink" Target="https://rulebooks.vara.ae/rulebook/va-management-and-investment-services-rulebook" TargetMode="External"/><Relationship Id="rId36" Type="http://schemas.openxmlformats.org/officeDocument/2006/relationships/hyperlink" Target="https://dmcc.ae/" TargetMode="External"/><Relationship Id="rId49" Type="http://schemas.openxmlformats.org/officeDocument/2006/relationships/hyperlink" Target="https://u.ae/en/about-the-uae/strategies-initiatives-and-awards/strategies-plans-and-visions/strategies-plans-and-visions-untill-2021/emirates-blockchain-strategy-2021" TargetMode="External"/><Relationship Id="rId57" Type="http://schemas.openxmlformats.org/officeDocument/2006/relationships/theme" Target="theme/theme1.xml"/><Relationship Id="rId10" Type="http://schemas.openxmlformats.org/officeDocument/2006/relationships/hyperlink" Target="https://www.vara.ae/en/" TargetMode="External"/><Relationship Id="rId31" Type="http://schemas.openxmlformats.org/officeDocument/2006/relationships/hyperlink" Target="https://rulebooks.vara.ae/rulebook/annex-1-fiat-referenced-virtual-assets-issuance-rules" TargetMode="External"/><Relationship Id="rId44" Type="http://schemas.openxmlformats.org/officeDocument/2006/relationships/hyperlink" Target="https://thenewscrypto.com/uaes-rak-dao-to-launch-legal-framework-for-daos/"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28</Pages>
  <Words>12667</Words>
  <Characters>72206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22</cp:revision>
  <dcterms:created xsi:type="dcterms:W3CDTF">2025-03-27T22:54:00Z</dcterms:created>
  <dcterms:modified xsi:type="dcterms:W3CDTF">2025-04-11T02:55:00Z</dcterms:modified>
</cp:coreProperties>
</file>