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DFD8E" w14:textId="6F96C89F" w:rsidR="00B4763A" w:rsidRPr="006874F7" w:rsidRDefault="00B4763A" w:rsidP="00B4763A">
      <w:pPr>
        <w:shd w:val="clear" w:color="auto" w:fill="000000"/>
        <w:spacing w:after="200"/>
        <w:jc w:val="center"/>
        <w:rPr>
          <w:rFonts w:ascii="Arial" w:eastAsia="Cambria" w:hAnsi="Arial" w:cs="Arial"/>
          <w:color w:val="FFFFFF"/>
          <w:lang w:val="en-GB"/>
        </w:rPr>
      </w:pPr>
      <w:r w:rsidRPr="006874F7">
        <w:rPr>
          <w:rFonts w:ascii="Arial" w:eastAsia="Cambria" w:hAnsi="Arial" w:cs="Arial"/>
          <w:color w:val="FFFFFF"/>
          <w:lang w:val="en-GB"/>
        </w:rPr>
        <w:t>Charltons</w:t>
      </w:r>
      <w:r w:rsidR="00840613" w:rsidRPr="006874F7">
        <w:rPr>
          <w:rFonts w:ascii="Arial" w:eastAsia="Cambria" w:hAnsi="Arial" w:cs="Arial"/>
          <w:color w:val="FFFFFF"/>
          <w:lang w:val="en-GB"/>
        </w:rPr>
        <w:t xml:space="preserve"> Quantum</w:t>
      </w:r>
      <w:r w:rsidR="00496C17">
        <w:rPr>
          <w:rFonts w:ascii="Arial" w:eastAsia="Cambria" w:hAnsi="Arial" w:cs="Arial"/>
          <w:color w:val="FFFFFF"/>
          <w:lang w:val="en-GB"/>
        </w:rPr>
        <w:t xml:space="preserve"> </w:t>
      </w:r>
      <w:r w:rsidR="00840613" w:rsidRPr="006874F7">
        <w:rPr>
          <w:rFonts w:ascii="Arial" w:eastAsia="Cambria" w:hAnsi="Arial" w:cs="Arial"/>
          <w:color w:val="FFFFFF"/>
          <w:lang w:val="en-GB"/>
        </w:rPr>
        <w:t xml:space="preserve">– </w:t>
      </w:r>
      <w:r w:rsidR="0021140B">
        <w:rPr>
          <w:rFonts w:ascii="Arial" w:eastAsia="Cambria" w:hAnsi="Arial" w:cs="Arial"/>
          <w:color w:val="FFFFFF"/>
          <w:lang w:val="en-GB"/>
        </w:rPr>
        <w:t>Crypto Guide</w:t>
      </w:r>
      <w:r w:rsidR="00496C17">
        <w:rPr>
          <w:rFonts w:ascii="Arial" w:eastAsia="Cambria" w:hAnsi="Arial" w:cs="Arial"/>
          <w:color w:val="FFFFFF"/>
          <w:lang w:val="en-GB"/>
        </w:rPr>
        <w:t xml:space="preserve"> </w:t>
      </w:r>
      <w:r w:rsidRPr="006874F7">
        <w:rPr>
          <w:rFonts w:ascii="Arial" w:eastAsia="Cambria" w:hAnsi="Arial" w:cs="Arial"/>
          <w:color w:val="FFFFFF"/>
          <w:lang w:val="en-GB"/>
        </w:rPr>
        <w:t xml:space="preserve">– </w:t>
      </w:r>
      <w:r w:rsidR="00092ADC" w:rsidRPr="00092ADC">
        <w:rPr>
          <w:rFonts w:ascii="Arial" w:eastAsia="Cambria" w:hAnsi="Arial" w:cs="Arial"/>
          <w:color w:val="FFFFFF"/>
          <w:lang w:val="en-GB"/>
        </w:rPr>
        <w:t>Gibraltar</w:t>
      </w:r>
      <w:r w:rsidR="00A405AA">
        <w:rPr>
          <w:rFonts w:ascii="Arial" w:eastAsia="Cambria" w:hAnsi="Arial" w:cs="Arial"/>
          <w:color w:val="FFFFFF"/>
          <w:lang w:val="en-GB"/>
        </w:rPr>
        <w:t xml:space="preserve"> </w:t>
      </w:r>
      <w:r w:rsidR="00A405AA" w:rsidRPr="006874F7">
        <w:rPr>
          <w:rFonts w:ascii="Arial" w:eastAsia="Cambria" w:hAnsi="Arial" w:cs="Arial"/>
          <w:color w:val="FFFFFF"/>
          <w:lang w:val="en-GB"/>
        </w:rPr>
        <w:t xml:space="preserve">– </w:t>
      </w:r>
      <w:r w:rsidR="00092ADC">
        <w:rPr>
          <w:rFonts w:ascii="Arial" w:eastAsia="Cambria" w:hAnsi="Arial" w:cs="Arial"/>
          <w:color w:val="FFFFFF"/>
          <w:lang w:val="en-GB"/>
        </w:rPr>
        <w:t>April</w:t>
      </w:r>
      <w:r w:rsidR="00A405AA">
        <w:rPr>
          <w:rFonts w:ascii="Arial" w:eastAsia="Cambria" w:hAnsi="Arial" w:cs="Arial"/>
          <w:color w:val="FFFFFF"/>
          <w:lang w:val="en-GB"/>
        </w:rPr>
        <w:t xml:space="preserve"> 2024</w:t>
      </w:r>
    </w:p>
    <w:p w14:paraId="5EF4FE96" w14:textId="38A87BDA" w:rsidR="00B4763A" w:rsidRDefault="00B4763A" w:rsidP="00B4763A">
      <w:pPr>
        <w:spacing w:after="200"/>
        <w:jc w:val="center"/>
        <w:rPr>
          <w:rStyle w:val="Hyperlink"/>
          <w:rFonts w:ascii="Arial" w:eastAsia="Cambria" w:hAnsi="Arial" w:cs="Arial"/>
          <w:sz w:val="28"/>
          <w:szCs w:val="24"/>
          <w:lang w:val="en-GB"/>
        </w:rPr>
      </w:pPr>
      <w:hyperlink r:id="rId8" w:history="1">
        <w:r w:rsidRPr="00251DF1">
          <w:rPr>
            <w:rStyle w:val="Hyperlink"/>
            <w:rFonts w:ascii="Arial" w:eastAsia="Cambria" w:hAnsi="Arial" w:cs="Arial"/>
            <w:sz w:val="28"/>
            <w:szCs w:val="24"/>
            <w:lang w:val="en-GB"/>
          </w:rPr>
          <w:t>Online version</w:t>
        </w:r>
      </w:hyperlink>
    </w:p>
    <w:p w14:paraId="056050EA" w14:textId="77777777" w:rsidR="009E6883" w:rsidRDefault="009E6883" w:rsidP="0031285F">
      <w:pPr>
        <w:spacing w:after="200"/>
        <w:rPr>
          <w:b/>
          <w:bCs/>
          <w:color w:val="FF6E00"/>
          <w:lang w:val="en-PH"/>
        </w:rPr>
      </w:pPr>
    </w:p>
    <w:p w14:paraId="3A3C558C" w14:textId="2B6B214E" w:rsidR="009E6883" w:rsidRDefault="009E6883" w:rsidP="0031285F">
      <w:pPr>
        <w:spacing w:after="200"/>
        <w:rPr>
          <w:b/>
          <w:bCs/>
          <w:color w:val="FF6E00"/>
          <w:lang w:val="en-PH"/>
        </w:rPr>
      </w:pPr>
    </w:p>
    <w:p w14:paraId="730589DB" w14:textId="77777777" w:rsidR="009E6883" w:rsidRDefault="009E6883" w:rsidP="00B920E5">
      <w:pPr>
        <w:jc w:val="both"/>
        <w:rPr>
          <w:b/>
          <w:bCs/>
          <w:color w:val="FF6E00"/>
        </w:rPr>
      </w:pPr>
    </w:p>
    <w:p w14:paraId="62C2FA7C" w14:textId="3940D750" w:rsidR="009E6883" w:rsidRDefault="009E6883" w:rsidP="00B920E5">
      <w:pPr>
        <w:jc w:val="both"/>
        <w:rPr>
          <w:b/>
          <w:bCs/>
          <w:color w:val="FF6E00"/>
        </w:rPr>
      </w:pPr>
    </w:p>
    <w:p w14:paraId="28DFF93A" w14:textId="77777777" w:rsidR="009E6883" w:rsidRDefault="009E6883" w:rsidP="00B920E5">
      <w:pPr>
        <w:jc w:val="both"/>
        <w:rPr>
          <w:b/>
          <w:bCs/>
          <w:color w:val="FF6E00"/>
        </w:rPr>
      </w:pPr>
    </w:p>
    <w:p w14:paraId="5AB34768" w14:textId="0790E491" w:rsidR="009E6883" w:rsidRDefault="009E6883" w:rsidP="00B920E5">
      <w:pPr>
        <w:jc w:val="both"/>
        <w:rPr>
          <w:b/>
          <w:bCs/>
          <w:color w:val="FF6E00"/>
        </w:rPr>
      </w:pPr>
      <w:r>
        <w:rPr>
          <w:b/>
          <w:bCs/>
          <w:noProof/>
          <w:color w:val="FF6E00"/>
        </w:rPr>
        <mc:AlternateContent>
          <mc:Choice Requires="wps">
            <w:drawing>
              <wp:anchor distT="0" distB="0" distL="114300" distR="114300" simplePos="0" relativeHeight="251659264" behindDoc="0" locked="0" layoutInCell="1" allowOverlap="1" wp14:anchorId="7B0A4561" wp14:editId="1EF42891">
                <wp:simplePos x="0" y="0"/>
                <wp:positionH relativeFrom="margin">
                  <wp:align>center</wp:align>
                </wp:positionH>
                <wp:positionV relativeFrom="margin">
                  <wp:align>center</wp:align>
                </wp:positionV>
                <wp:extent cx="6324600" cy="1879600"/>
                <wp:effectExtent l="0" t="0" r="0" b="6350"/>
                <wp:wrapNone/>
                <wp:docPr id="1380371415" name="Text Box 1"/>
                <wp:cNvGraphicFramePr/>
                <a:graphic xmlns:a="http://schemas.openxmlformats.org/drawingml/2006/main">
                  <a:graphicData uri="http://schemas.microsoft.com/office/word/2010/wordprocessingShape">
                    <wps:wsp>
                      <wps:cNvSpPr txBox="1"/>
                      <wps:spPr>
                        <a:xfrm>
                          <a:off x="0" y="0"/>
                          <a:ext cx="6324600" cy="1879600"/>
                        </a:xfrm>
                        <a:prstGeom prst="rect">
                          <a:avLst/>
                        </a:prstGeom>
                        <a:solidFill>
                          <a:schemeClr val="lt1"/>
                        </a:solidFill>
                        <a:ln w="6350">
                          <a:noFill/>
                        </a:ln>
                      </wps:spPr>
                      <wps:txbx>
                        <w:txbxContent>
                          <w:p w14:paraId="0E479721" w14:textId="6F6A12A5" w:rsidR="009E6883" w:rsidRPr="009E6883" w:rsidRDefault="009E6883" w:rsidP="009E6883">
                            <w:pPr>
                              <w:jc w:val="center"/>
                              <w:rPr>
                                <w:b/>
                                <w:bCs/>
                                <w:color w:val="FF6E00"/>
                                <w:sz w:val="72"/>
                                <w:szCs w:val="72"/>
                              </w:rPr>
                            </w:pPr>
                            <w:r w:rsidRPr="009E6883">
                              <w:rPr>
                                <w:b/>
                                <w:bCs/>
                                <w:color w:val="FF6E00"/>
                                <w:sz w:val="72"/>
                                <w:szCs w:val="72"/>
                              </w:rPr>
                              <w:t>An overview of the</w:t>
                            </w:r>
                            <w:r>
                              <w:rPr>
                                <w:b/>
                                <w:bCs/>
                                <w:color w:val="FF6E00"/>
                                <w:sz w:val="72"/>
                                <w:szCs w:val="72"/>
                              </w:rPr>
                              <w:br/>
                            </w:r>
                            <w:r w:rsidRPr="009E6883">
                              <w:rPr>
                                <w:b/>
                                <w:bCs/>
                                <w:color w:val="FF6E00"/>
                                <w:sz w:val="72"/>
                                <w:szCs w:val="72"/>
                              </w:rPr>
                              <w:t>regulation of virtual assets</w:t>
                            </w:r>
                            <w:r>
                              <w:rPr>
                                <w:b/>
                                <w:bCs/>
                                <w:color w:val="FF6E00"/>
                                <w:sz w:val="72"/>
                                <w:szCs w:val="72"/>
                              </w:rPr>
                              <w:br/>
                            </w:r>
                            <w:r w:rsidRPr="009E6883">
                              <w:rPr>
                                <w:b/>
                                <w:bCs/>
                                <w:color w:val="FF6E00"/>
                                <w:sz w:val="72"/>
                                <w:szCs w:val="72"/>
                              </w:rPr>
                              <w:t xml:space="preserve">in </w:t>
                            </w:r>
                            <w:r w:rsidR="00B945CF" w:rsidRPr="00B945CF">
                              <w:rPr>
                                <w:b/>
                                <w:bCs/>
                                <w:color w:val="FF6E00"/>
                                <w:sz w:val="72"/>
                                <w:szCs w:val="72"/>
                              </w:rPr>
                              <w:t>Gibraltar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B0A4561" id="_x0000_t202" coordsize="21600,21600" o:spt="202" path="m,l,21600r21600,l21600,xe">
                <v:stroke joinstyle="miter"/>
                <v:path gradientshapeok="t" o:connecttype="rect"/>
              </v:shapetype>
              <v:shape id="Text Box 1" o:spid="_x0000_s1026" type="#_x0000_t202" style="position:absolute;left:0;text-align:left;margin-left:0;margin-top:0;width:498pt;height:148pt;z-index:251659264;visibility:visible;mso-wrap-style:square;mso-height-percent:0;mso-wrap-distance-left:9pt;mso-wrap-distance-top:0;mso-wrap-distance-right:9pt;mso-wrap-distance-bottom:0;mso-position-horizontal:center;mso-position-horizontal-relative:margin;mso-position-vertical:center;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" fillcolor="white [3201]" stroked="f" strokeweight=".5pt">
                <v:textbox>
                  <w:txbxContent>
                    <w:p w14:paraId="0E479721" w14:textId="6F6A12A5" w:rsidR="009E6883" w:rsidRPr="009E6883" w:rsidRDefault="009E6883" w:rsidP="009E6883">
                      <w:pPr>
                        <w:jc w:val="center"/>
                        <w:rPr>
                          <w:b/>
                          <w:bCs/>
                          <w:color w:val="FF6E00"/>
                          <w:sz w:val="72"/>
                          <w:szCs w:val="72"/>
                        </w:rPr>
                      </w:pPr>
                      <w:r w:rsidRPr="009E6883">
                        <w:rPr>
                          <w:b/>
                          <w:bCs/>
                          <w:color w:val="FF6E00"/>
                          <w:sz w:val="72"/>
                          <w:szCs w:val="72"/>
                        </w:rPr>
                        <w:t>An overview of the</w:t>
                      </w:r>
                      <w:r>
                        <w:rPr>
                          <w:b/>
                          <w:bCs/>
                          <w:color w:val="FF6E00"/>
                          <w:sz w:val="72"/>
                          <w:szCs w:val="72"/>
                        </w:rPr>
                        <w:br/>
                      </w:r>
                      <w:r w:rsidRPr="009E6883">
                        <w:rPr>
                          <w:b/>
                          <w:bCs/>
                          <w:color w:val="FF6E00"/>
                          <w:sz w:val="72"/>
                          <w:szCs w:val="72"/>
                        </w:rPr>
                        <w:t>regulation of virtual assets</w:t>
                      </w:r>
                      <w:r>
                        <w:rPr>
                          <w:b/>
                          <w:bCs/>
                          <w:color w:val="FF6E00"/>
                          <w:sz w:val="72"/>
                          <w:szCs w:val="72"/>
                        </w:rPr>
                        <w:br/>
                      </w:r>
                      <w:r w:rsidRPr="009E6883">
                        <w:rPr>
                          <w:b/>
                          <w:bCs/>
                          <w:color w:val="FF6E00"/>
                          <w:sz w:val="72"/>
                          <w:szCs w:val="72"/>
                        </w:rPr>
                        <w:t xml:space="preserve">in </w:t>
                      </w:r>
                      <w:r w:rsidR="00B945CF" w:rsidRPr="00B945CF">
                        <w:rPr>
                          <w:b/>
                          <w:bCs/>
                          <w:color w:val="FF6E00"/>
                          <w:sz w:val="72"/>
                          <w:szCs w:val="72"/>
                        </w:rPr>
                        <w:t>Gibraltar</w:t>
                      </w:r>
                    </w:p>
                  </w:txbxContent>
                </v:textbox>
                <w10:wrap anchorx="margin" anchory="margin"/>
              </v:shape>
            </w:pict>
          </mc:Fallback>
        </mc:AlternateContent>
      </w:r>
    </w:p>
    <w:p w14:paraId="39CA244B" w14:textId="77777777" w:rsidR="009E6883" w:rsidRDefault="009E6883" w:rsidP="00B920E5">
      <w:pPr>
        <w:jc w:val="both"/>
        <w:rPr>
          <w:b/>
          <w:bCs/>
          <w:color w:val="FF6E00"/>
        </w:rPr>
      </w:pPr>
    </w:p>
    <w:p w14:paraId="7F08F6B6" w14:textId="77777777" w:rsidR="009E6883" w:rsidRDefault="009E6883" w:rsidP="00B920E5">
      <w:pPr>
        <w:jc w:val="both"/>
        <w:rPr>
          <w:b/>
          <w:bCs/>
          <w:color w:val="FF6E00"/>
        </w:rPr>
      </w:pPr>
    </w:p>
    <w:p w14:paraId="590AAC6E" w14:textId="77777777" w:rsidR="009E6883" w:rsidRDefault="009E6883" w:rsidP="00B920E5">
      <w:pPr>
        <w:jc w:val="both"/>
        <w:rPr>
          <w:b/>
          <w:bCs/>
          <w:color w:val="FF6E00"/>
        </w:rPr>
      </w:pPr>
    </w:p>
    <w:p w14:paraId="71356FF5" w14:textId="77777777" w:rsidR="009E6883" w:rsidRDefault="009E6883" w:rsidP="00B920E5">
      <w:pPr>
        <w:jc w:val="both"/>
        <w:rPr>
          <w:b/>
          <w:bCs/>
          <w:color w:val="FF6E00"/>
        </w:rPr>
      </w:pPr>
    </w:p>
    <w:p w14:paraId="00FC6A0C" w14:textId="77777777" w:rsidR="009E6883" w:rsidRDefault="009E6883" w:rsidP="00B920E5">
      <w:pPr>
        <w:jc w:val="both"/>
        <w:rPr>
          <w:b/>
          <w:bCs/>
          <w:color w:val="FF6E00"/>
        </w:rPr>
      </w:pPr>
    </w:p>
    <w:p w14:paraId="4BB0EC71" w14:textId="77777777" w:rsidR="009E6883" w:rsidRDefault="009E6883" w:rsidP="00B920E5">
      <w:pPr>
        <w:jc w:val="both"/>
        <w:rPr>
          <w:b/>
          <w:bCs/>
          <w:color w:val="FF6E00"/>
        </w:rPr>
      </w:pPr>
    </w:p>
    <w:p w14:paraId="0273DDE2" w14:textId="77777777" w:rsidR="009E6883" w:rsidRDefault="009E6883" w:rsidP="00B920E5">
      <w:pPr>
        <w:jc w:val="both"/>
        <w:rPr>
          <w:b/>
          <w:bCs/>
          <w:color w:val="FF6E00"/>
        </w:rPr>
      </w:pPr>
    </w:p>
    <w:p w14:paraId="3BF21141" w14:textId="77777777" w:rsidR="009E6883" w:rsidRDefault="009E6883" w:rsidP="00B920E5">
      <w:pPr>
        <w:jc w:val="both"/>
        <w:rPr>
          <w:b/>
          <w:bCs/>
          <w:color w:val="FF6E00"/>
        </w:rPr>
      </w:pPr>
    </w:p>
    <w:p w14:paraId="436D86E8" w14:textId="77777777" w:rsidR="009E6883" w:rsidRDefault="009E6883" w:rsidP="00B920E5">
      <w:pPr>
        <w:jc w:val="both"/>
        <w:rPr>
          <w:b/>
          <w:bCs/>
          <w:color w:val="FF6E00"/>
        </w:rPr>
      </w:pPr>
    </w:p>
    <w:p w14:paraId="5519E349" w14:textId="77777777" w:rsidR="009E6883" w:rsidRDefault="009E6883" w:rsidP="00B920E5">
      <w:pPr>
        <w:jc w:val="both"/>
        <w:rPr>
          <w:b/>
          <w:bCs/>
          <w:color w:val="FF6E00"/>
        </w:rPr>
      </w:pPr>
    </w:p>
    <w:p w14:paraId="4596D8BE" w14:textId="77777777" w:rsidR="009E6883" w:rsidRDefault="009E6883" w:rsidP="00B920E5">
      <w:pPr>
        <w:jc w:val="both"/>
        <w:rPr>
          <w:b/>
          <w:bCs/>
          <w:color w:val="FF6E00"/>
        </w:rPr>
      </w:pPr>
    </w:p>
    <w:p w14:paraId="4189D162" w14:textId="77777777" w:rsidR="009E6883" w:rsidRDefault="009E6883" w:rsidP="00B920E5">
      <w:pPr>
        <w:jc w:val="both"/>
        <w:rPr>
          <w:b/>
          <w:bCs/>
          <w:color w:val="FF6E00"/>
        </w:rPr>
      </w:pPr>
    </w:p>
    <w:p w14:paraId="2E7DB8A5" w14:textId="77777777" w:rsidR="009E6883" w:rsidRDefault="009E6883" w:rsidP="00B920E5">
      <w:pPr>
        <w:jc w:val="both"/>
        <w:rPr>
          <w:b/>
          <w:bCs/>
          <w:color w:val="FF6E00"/>
        </w:rPr>
      </w:pPr>
    </w:p>
    <w:p w14:paraId="24D78D57" w14:textId="77777777" w:rsidR="009E6883" w:rsidRDefault="009E6883" w:rsidP="00B920E5">
      <w:pPr>
        <w:jc w:val="both"/>
        <w:rPr>
          <w:b/>
          <w:bCs/>
          <w:color w:val="FF6E00"/>
        </w:rPr>
      </w:pPr>
    </w:p>
    <w:p w14:paraId="0AA2E039" w14:textId="77777777" w:rsidR="009E6883" w:rsidRDefault="009E6883" w:rsidP="00B920E5">
      <w:pPr>
        <w:jc w:val="both"/>
        <w:rPr>
          <w:b/>
          <w:bCs/>
          <w:color w:val="FF6E00"/>
        </w:rPr>
      </w:pPr>
    </w:p>
    <w:p w14:paraId="550462EE" w14:textId="77777777" w:rsidR="009E6883" w:rsidRDefault="009E6883" w:rsidP="00B920E5">
      <w:pPr>
        <w:jc w:val="both"/>
        <w:rPr>
          <w:b/>
          <w:bCs/>
          <w:color w:val="FF6E00"/>
        </w:rPr>
      </w:pPr>
    </w:p>
    <w:p w14:paraId="4D571C66" w14:textId="77777777" w:rsidR="009E6883" w:rsidRDefault="009E6883" w:rsidP="00B920E5">
      <w:pPr>
        <w:jc w:val="both"/>
        <w:rPr>
          <w:b/>
          <w:bCs/>
          <w:color w:val="FF6E00"/>
        </w:rPr>
      </w:pPr>
    </w:p>
    <w:p w14:paraId="0ECF3581" w14:textId="77777777" w:rsidR="009E6883" w:rsidRDefault="009E6883" w:rsidP="00B920E5">
      <w:pPr>
        <w:jc w:val="both"/>
        <w:rPr>
          <w:b/>
          <w:bCs/>
          <w:color w:val="FF6E00"/>
        </w:rPr>
      </w:pPr>
    </w:p>
    <w:p w14:paraId="5DDDD358" w14:textId="77777777" w:rsidR="009E6883" w:rsidRDefault="009E6883" w:rsidP="00B920E5">
      <w:pPr>
        <w:jc w:val="both"/>
        <w:rPr>
          <w:b/>
          <w:bCs/>
          <w:color w:val="FF6E00"/>
        </w:rPr>
      </w:pPr>
    </w:p>
    <w:p w14:paraId="1EE97DA7" w14:textId="6CB008E4" w:rsidR="00466CEE" w:rsidRDefault="00466CEE" w:rsidP="00067855">
      <w:pPr>
        <w:spacing w:after="0" w:line="240" w:lineRule="auto"/>
        <w:jc w:val="both"/>
        <w:rPr>
          <w:b/>
          <w:bCs/>
          <w:color w:val="FF6E00"/>
        </w:rPr>
      </w:pPr>
    </w:p>
    <w:p w14:paraId="65AC8692" w14:textId="77777777" w:rsidR="00067855" w:rsidRDefault="00067855" w:rsidP="00067855">
      <w:pPr>
        <w:spacing w:after="0" w:line="240" w:lineRule="auto"/>
        <w:jc w:val="both"/>
        <w:rPr>
          <w:b/>
          <w:bCs/>
          <w:color w:val="FF6E00"/>
        </w:rPr>
      </w:pPr>
    </w:p>
    <w:p w14:paraId="55ADED03" w14:textId="77777777" w:rsidR="003427DB" w:rsidRPr="00F35A6D" w:rsidRDefault="003427DB" w:rsidP="003427DB">
      <w:pPr>
        <w:jc w:val="center"/>
        <w:rPr>
          <w:b/>
          <w:bCs/>
          <w:color w:val="FF6E00"/>
          <w:sz w:val="40"/>
          <w:szCs w:val="40"/>
        </w:rPr>
      </w:pPr>
      <w:r w:rsidRPr="00F35A6D">
        <w:rPr>
          <w:b/>
          <w:bCs/>
          <w:color w:val="FF6E00"/>
          <w:sz w:val="40"/>
          <w:szCs w:val="40"/>
        </w:rPr>
        <w:lastRenderedPageBreak/>
        <w:t>Contents</w:t>
      </w:r>
    </w:p>
    <w:p w14:paraId="7F65DF8B" w14:textId="5131AA73" w:rsidR="003A31D5" w:rsidRDefault="003427DB">
      <w:pPr>
        <w:pStyle w:val="TOC1"/>
        <w:tabs>
          <w:tab w:val="left" w:pos="480"/>
          <w:tab w:val="right" w:leader="dot" w:pos="9350"/>
        </w:tabs>
        <w:rPr>
          <w:rFonts w:cstheme="minorBidi"/>
          <w:b w:val="0"/>
          <w:noProof/>
          <w:kern w:val="2"/>
          <w:sz w:val="24"/>
          <w:szCs w:val="24"/>
          <w:lang w:val="en-PH" w:eastAsia="en-PH"/>
          <w14:ligatures w14:val="standardContextual"/>
        </w:rPr>
      </w:pPr>
      <w:r>
        <w:rPr>
          <w:bCs/>
          <w:color w:val="FF6E00"/>
        </w:rPr>
        <w:fldChar w:fldCharType="begin"/>
      </w:r>
      <w:r>
        <w:rPr>
          <w:bCs/>
          <w:color w:val="FF6E00"/>
        </w:rPr>
        <w:instrText xml:space="preserve"> TOC \o "1-2" \h \z \u </w:instrText>
      </w:r>
      <w:r>
        <w:rPr>
          <w:bCs/>
          <w:color w:val="FF6E00"/>
        </w:rPr>
        <w:fldChar w:fldCharType="separate"/>
      </w:r>
      <w:hyperlink w:anchor="_Toc195261841" w:history="1">
        <w:r w:rsidR="003A31D5" w:rsidRPr="00BE2CFD">
          <w:rPr>
            <w:rStyle w:val="Hyperlink"/>
            <w:bCs/>
            <w:noProof/>
            <w:lang w:val="en-PH"/>
          </w:rPr>
          <w:t>1.</w:t>
        </w:r>
        <w:r w:rsidR="003A31D5">
          <w:rPr>
            <w:rFonts w:cstheme="minorBidi"/>
            <w:b w:val="0"/>
            <w:noProof/>
            <w:kern w:val="2"/>
            <w:sz w:val="24"/>
            <w:szCs w:val="24"/>
            <w:lang w:val="en-PH" w:eastAsia="en-PH"/>
            <w14:ligatures w14:val="standardContextual"/>
          </w:rPr>
          <w:tab/>
        </w:r>
        <w:r w:rsidR="003A31D5" w:rsidRPr="00BE2CFD">
          <w:rPr>
            <w:rStyle w:val="Hyperlink"/>
            <w:noProof/>
          </w:rPr>
          <w:t xml:space="preserve">Virtual asset laws and regulations in </w:t>
        </w:r>
        <w:r w:rsidR="003A31D5" w:rsidRPr="00BE2CFD">
          <w:rPr>
            <w:rStyle w:val="Hyperlink"/>
            <w:bCs/>
            <w:noProof/>
            <w:lang w:val="en-PH"/>
          </w:rPr>
          <w:t>Gibraltar</w:t>
        </w:r>
        <w:r w:rsidR="003A31D5">
          <w:rPr>
            <w:noProof/>
            <w:webHidden/>
          </w:rPr>
          <w:tab/>
        </w:r>
        <w:r w:rsidR="003A31D5">
          <w:rPr>
            <w:noProof/>
            <w:webHidden/>
          </w:rPr>
          <w:fldChar w:fldCharType="begin"/>
        </w:r>
        <w:r w:rsidR="003A31D5">
          <w:rPr>
            <w:noProof/>
            <w:webHidden/>
          </w:rPr>
          <w:instrText xml:space="preserve"> PAGEREF _Toc195261841 \h </w:instrText>
        </w:r>
        <w:r w:rsidR="003A31D5">
          <w:rPr>
            <w:noProof/>
            <w:webHidden/>
          </w:rPr>
        </w:r>
        <w:r w:rsidR="003A31D5">
          <w:rPr>
            <w:noProof/>
            <w:webHidden/>
          </w:rPr>
          <w:fldChar w:fldCharType="separate"/>
        </w:r>
        <w:r w:rsidR="003A31D5">
          <w:rPr>
            <w:noProof/>
            <w:webHidden/>
          </w:rPr>
          <w:t>2</w:t>
        </w:r>
        <w:r w:rsidR="003A31D5">
          <w:rPr>
            <w:noProof/>
            <w:webHidden/>
          </w:rPr>
          <w:fldChar w:fldCharType="end"/>
        </w:r>
      </w:hyperlink>
    </w:p>
    <w:p w14:paraId="023DC485" w14:textId="0BB02597" w:rsidR="003A31D5" w:rsidRDefault="003A31D5">
      <w:pPr>
        <w:pStyle w:val="TOC2"/>
        <w:rPr>
          <w:rFonts w:cstheme="minorBidi"/>
          <w:noProof/>
          <w:kern w:val="2"/>
          <w:sz w:val="24"/>
          <w:szCs w:val="24"/>
          <w:lang w:val="en-PH" w:eastAsia="en-PH"/>
          <w14:ligatures w14:val="standardContextual"/>
        </w:rPr>
      </w:pPr>
      <w:hyperlink w:anchor="_Toc195261842" w:history="1">
        <w:r w:rsidRPr="00BE2CFD">
          <w:rPr>
            <w:rStyle w:val="Hyperlink"/>
            <w:noProof/>
          </w:rPr>
          <w:t>What is considered a virtual asset in Gibraltar?</w:t>
        </w:r>
        <w:r>
          <w:rPr>
            <w:noProof/>
            <w:webHidden/>
          </w:rPr>
          <w:tab/>
        </w:r>
        <w:r>
          <w:rPr>
            <w:noProof/>
            <w:webHidden/>
          </w:rPr>
          <w:fldChar w:fldCharType="begin"/>
        </w:r>
        <w:r>
          <w:rPr>
            <w:noProof/>
            <w:webHidden/>
          </w:rPr>
          <w:instrText xml:space="preserve"> PAGEREF _Toc195261842 \h </w:instrText>
        </w:r>
        <w:r>
          <w:rPr>
            <w:noProof/>
            <w:webHidden/>
          </w:rPr>
        </w:r>
        <w:r>
          <w:rPr>
            <w:noProof/>
            <w:webHidden/>
          </w:rPr>
          <w:fldChar w:fldCharType="separate"/>
        </w:r>
        <w:r>
          <w:rPr>
            <w:noProof/>
            <w:webHidden/>
          </w:rPr>
          <w:t>3</w:t>
        </w:r>
        <w:r>
          <w:rPr>
            <w:noProof/>
            <w:webHidden/>
          </w:rPr>
          <w:fldChar w:fldCharType="end"/>
        </w:r>
      </w:hyperlink>
    </w:p>
    <w:p w14:paraId="16A8E0E2" w14:textId="5986C5CD" w:rsidR="003A31D5" w:rsidRDefault="003A31D5">
      <w:pPr>
        <w:pStyle w:val="TOC2"/>
        <w:rPr>
          <w:rFonts w:cstheme="minorBidi"/>
          <w:noProof/>
          <w:kern w:val="2"/>
          <w:sz w:val="24"/>
          <w:szCs w:val="24"/>
          <w:lang w:val="en-PH" w:eastAsia="en-PH"/>
          <w14:ligatures w14:val="standardContextual"/>
        </w:rPr>
      </w:pPr>
      <w:hyperlink w:anchor="_Toc195261843" w:history="1">
        <w:r w:rsidRPr="00BE2CFD">
          <w:rPr>
            <w:rStyle w:val="Hyperlink"/>
            <w:noProof/>
          </w:rPr>
          <w:t>What are the relevant laws and regulations?</w:t>
        </w:r>
        <w:r>
          <w:rPr>
            <w:noProof/>
            <w:webHidden/>
          </w:rPr>
          <w:tab/>
        </w:r>
        <w:r>
          <w:rPr>
            <w:noProof/>
            <w:webHidden/>
          </w:rPr>
          <w:fldChar w:fldCharType="begin"/>
        </w:r>
        <w:r>
          <w:rPr>
            <w:noProof/>
            <w:webHidden/>
          </w:rPr>
          <w:instrText xml:space="preserve"> PAGEREF _Toc195261843 \h </w:instrText>
        </w:r>
        <w:r>
          <w:rPr>
            <w:noProof/>
            <w:webHidden/>
          </w:rPr>
        </w:r>
        <w:r>
          <w:rPr>
            <w:noProof/>
            <w:webHidden/>
          </w:rPr>
          <w:fldChar w:fldCharType="separate"/>
        </w:r>
        <w:r>
          <w:rPr>
            <w:noProof/>
            <w:webHidden/>
          </w:rPr>
          <w:t>3</w:t>
        </w:r>
        <w:r>
          <w:rPr>
            <w:noProof/>
            <w:webHidden/>
          </w:rPr>
          <w:fldChar w:fldCharType="end"/>
        </w:r>
      </w:hyperlink>
    </w:p>
    <w:p w14:paraId="67C80B47" w14:textId="3F109204" w:rsidR="003A31D5" w:rsidRDefault="003A31D5">
      <w:pPr>
        <w:pStyle w:val="TOC2"/>
        <w:rPr>
          <w:rFonts w:cstheme="minorBidi"/>
          <w:noProof/>
          <w:kern w:val="2"/>
          <w:sz w:val="24"/>
          <w:szCs w:val="24"/>
          <w:lang w:val="en-PH" w:eastAsia="en-PH"/>
          <w14:ligatures w14:val="standardContextual"/>
        </w:rPr>
      </w:pPr>
      <w:hyperlink w:anchor="_Toc195261844" w:history="1">
        <w:r w:rsidRPr="00BE2CFD">
          <w:rPr>
            <w:rStyle w:val="Hyperlink"/>
            <w:noProof/>
          </w:rPr>
          <w:t>Who do such laws and regulations apply to?</w:t>
        </w:r>
        <w:r>
          <w:rPr>
            <w:noProof/>
            <w:webHidden/>
          </w:rPr>
          <w:tab/>
        </w:r>
        <w:r>
          <w:rPr>
            <w:noProof/>
            <w:webHidden/>
          </w:rPr>
          <w:fldChar w:fldCharType="begin"/>
        </w:r>
        <w:r>
          <w:rPr>
            <w:noProof/>
            <w:webHidden/>
          </w:rPr>
          <w:instrText xml:space="preserve"> PAGEREF _Toc195261844 \h </w:instrText>
        </w:r>
        <w:r>
          <w:rPr>
            <w:noProof/>
            <w:webHidden/>
          </w:rPr>
        </w:r>
        <w:r>
          <w:rPr>
            <w:noProof/>
            <w:webHidden/>
          </w:rPr>
          <w:fldChar w:fldCharType="separate"/>
        </w:r>
        <w:r>
          <w:rPr>
            <w:noProof/>
            <w:webHidden/>
          </w:rPr>
          <w:t>5</w:t>
        </w:r>
        <w:r>
          <w:rPr>
            <w:noProof/>
            <w:webHidden/>
          </w:rPr>
          <w:fldChar w:fldCharType="end"/>
        </w:r>
      </w:hyperlink>
    </w:p>
    <w:p w14:paraId="00659716" w14:textId="1E1C575D" w:rsidR="003A31D5" w:rsidRDefault="003A31D5">
      <w:pPr>
        <w:pStyle w:val="TOC2"/>
        <w:rPr>
          <w:rFonts w:cstheme="minorBidi"/>
          <w:noProof/>
          <w:kern w:val="2"/>
          <w:sz w:val="24"/>
          <w:szCs w:val="24"/>
          <w:lang w:val="en-PH" w:eastAsia="en-PH"/>
          <w14:ligatures w14:val="standardContextual"/>
        </w:rPr>
      </w:pPr>
      <w:hyperlink w:anchor="_Toc195261845" w:history="1">
        <w:r w:rsidRPr="00BE2CFD">
          <w:rPr>
            <w:rStyle w:val="Hyperlink"/>
            <w:noProof/>
          </w:rPr>
          <w:t>Who are the relevant regulatory authorities in relation to virtual assets in Gibraltar?</w:t>
        </w:r>
        <w:r>
          <w:rPr>
            <w:noProof/>
            <w:webHidden/>
          </w:rPr>
          <w:tab/>
        </w:r>
        <w:r>
          <w:rPr>
            <w:noProof/>
            <w:webHidden/>
          </w:rPr>
          <w:fldChar w:fldCharType="begin"/>
        </w:r>
        <w:r>
          <w:rPr>
            <w:noProof/>
            <w:webHidden/>
          </w:rPr>
          <w:instrText xml:space="preserve"> PAGEREF _Toc195261845 \h </w:instrText>
        </w:r>
        <w:r>
          <w:rPr>
            <w:noProof/>
            <w:webHidden/>
          </w:rPr>
        </w:r>
        <w:r>
          <w:rPr>
            <w:noProof/>
            <w:webHidden/>
          </w:rPr>
          <w:fldChar w:fldCharType="separate"/>
        </w:r>
        <w:r>
          <w:rPr>
            <w:noProof/>
            <w:webHidden/>
          </w:rPr>
          <w:t>5</w:t>
        </w:r>
        <w:r>
          <w:rPr>
            <w:noProof/>
            <w:webHidden/>
          </w:rPr>
          <w:fldChar w:fldCharType="end"/>
        </w:r>
      </w:hyperlink>
    </w:p>
    <w:p w14:paraId="5461D6DF" w14:textId="169E3B68" w:rsidR="003A31D5" w:rsidRDefault="003A31D5">
      <w:pPr>
        <w:pStyle w:val="TOC2"/>
        <w:rPr>
          <w:rFonts w:cstheme="minorBidi"/>
          <w:noProof/>
          <w:kern w:val="2"/>
          <w:sz w:val="24"/>
          <w:szCs w:val="24"/>
          <w:lang w:val="en-PH" w:eastAsia="en-PH"/>
          <w14:ligatures w14:val="standardContextual"/>
        </w:rPr>
      </w:pPr>
      <w:hyperlink w:anchor="_Toc195261846" w:history="1">
        <w:r w:rsidRPr="00BE2CFD">
          <w:rPr>
            <w:rStyle w:val="Hyperlink"/>
            <w:noProof/>
          </w:rPr>
          <w:t>What are the penalties for breaches of virtual asset laws and regulations in Gibraltar?</w:t>
        </w:r>
        <w:r>
          <w:rPr>
            <w:noProof/>
            <w:webHidden/>
          </w:rPr>
          <w:tab/>
        </w:r>
        <w:r>
          <w:rPr>
            <w:noProof/>
            <w:webHidden/>
          </w:rPr>
          <w:fldChar w:fldCharType="begin"/>
        </w:r>
        <w:r>
          <w:rPr>
            <w:noProof/>
            <w:webHidden/>
          </w:rPr>
          <w:instrText xml:space="preserve"> PAGEREF _Toc195261846 \h </w:instrText>
        </w:r>
        <w:r>
          <w:rPr>
            <w:noProof/>
            <w:webHidden/>
          </w:rPr>
        </w:r>
        <w:r>
          <w:rPr>
            <w:noProof/>
            <w:webHidden/>
          </w:rPr>
          <w:fldChar w:fldCharType="separate"/>
        </w:r>
        <w:r>
          <w:rPr>
            <w:noProof/>
            <w:webHidden/>
          </w:rPr>
          <w:t>6</w:t>
        </w:r>
        <w:r>
          <w:rPr>
            <w:noProof/>
            <w:webHidden/>
          </w:rPr>
          <w:fldChar w:fldCharType="end"/>
        </w:r>
      </w:hyperlink>
    </w:p>
    <w:p w14:paraId="487D0579" w14:textId="23107E45" w:rsidR="003A31D5" w:rsidRDefault="003A31D5">
      <w:pPr>
        <w:pStyle w:val="TOC1"/>
        <w:tabs>
          <w:tab w:val="left" w:pos="480"/>
          <w:tab w:val="right" w:leader="dot" w:pos="9350"/>
        </w:tabs>
        <w:rPr>
          <w:rFonts w:cstheme="minorBidi"/>
          <w:b w:val="0"/>
          <w:noProof/>
          <w:kern w:val="2"/>
          <w:sz w:val="24"/>
          <w:szCs w:val="24"/>
          <w:lang w:val="en-PH" w:eastAsia="en-PH"/>
          <w14:ligatures w14:val="standardContextual"/>
        </w:rPr>
      </w:pPr>
      <w:hyperlink w:anchor="_Toc195261847" w:history="1">
        <w:r w:rsidRPr="00BE2CFD">
          <w:rPr>
            <w:rStyle w:val="Hyperlink"/>
            <w:bCs/>
            <w:noProof/>
          </w:rPr>
          <w:t>2.</w:t>
        </w:r>
        <w:r>
          <w:rPr>
            <w:rFonts w:cstheme="minorBidi"/>
            <w:b w:val="0"/>
            <w:noProof/>
            <w:kern w:val="2"/>
            <w:sz w:val="24"/>
            <w:szCs w:val="24"/>
            <w:lang w:val="en-PH" w:eastAsia="en-PH"/>
            <w14:ligatures w14:val="standardContextual"/>
          </w:rPr>
          <w:tab/>
        </w:r>
        <w:r w:rsidRPr="00BE2CFD">
          <w:rPr>
            <w:rStyle w:val="Hyperlink"/>
            <w:noProof/>
          </w:rPr>
          <w:t>Regulation of virtual assets and offerings of virtual assets in Gibraltar</w:t>
        </w:r>
        <w:r>
          <w:rPr>
            <w:noProof/>
            <w:webHidden/>
          </w:rPr>
          <w:tab/>
        </w:r>
        <w:r>
          <w:rPr>
            <w:noProof/>
            <w:webHidden/>
          </w:rPr>
          <w:fldChar w:fldCharType="begin"/>
        </w:r>
        <w:r>
          <w:rPr>
            <w:noProof/>
            <w:webHidden/>
          </w:rPr>
          <w:instrText xml:space="preserve"> PAGEREF _Toc195261847 \h </w:instrText>
        </w:r>
        <w:r>
          <w:rPr>
            <w:noProof/>
            <w:webHidden/>
          </w:rPr>
        </w:r>
        <w:r>
          <w:rPr>
            <w:noProof/>
            <w:webHidden/>
          </w:rPr>
          <w:fldChar w:fldCharType="separate"/>
        </w:r>
        <w:r>
          <w:rPr>
            <w:noProof/>
            <w:webHidden/>
          </w:rPr>
          <w:t>6</w:t>
        </w:r>
        <w:r>
          <w:rPr>
            <w:noProof/>
            <w:webHidden/>
          </w:rPr>
          <w:fldChar w:fldCharType="end"/>
        </w:r>
      </w:hyperlink>
    </w:p>
    <w:p w14:paraId="7F47E0B9" w14:textId="3D73F5C8" w:rsidR="003A31D5" w:rsidRDefault="003A31D5">
      <w:pPr>
        <w:pStyle w:val="TOC2"/>
        <w:rPr>
          <w:rFonts w:cstheme="minorBidi"/>
          <w:noProof/>
          <w:kern w:val="2"/>
          <w:sz w:val="24"/>
          <w:szCs w:val="24"/>
          <w:lang w:val="en-PH" w:eastAsia="en-PH"/>
          <w14:ligatures w14:val="standardContextual"/>
        </w:rPr>
      </w:pPr>
      <w:hyperlink w:anchor="_Toc195261848" w:history="1">
        <w:r w:rsidRPr="00BE2CFD">
          <w:rPr>
            <w:rStyle w:val="Hyperlink"/>
            <w:noProof/>
          </w:rPr>
          <w:t>Are virtual assets classified as ‘securities’ or other regulated financial instruments in Gibraltar?</w:t>
        </w:r>
        <w:r>
          <w:rPr>
            <w:noProof/>
            <w:webHidden/>
          </w:rPr>
          <w:tab/>
        </w:r>
        <w:r>
          <w:rPr>
            <w:noProof/>
            <w:webHidden/>
          </w:rPr>
          <w:fldChar w:fldCharType="begin"/>
        </w:r>
        <w:r>
          <w:rPr>
            <w:noProof/>
            <w:webHidden/>
          </w:rPr>
          <w:instrText xml:space="preserve"> PAGEREF _Toc195261848 \h </w:instrText>
        </w:r>
        <w:r>
          <w:rPr>
            <w:noProof/>
            <w:webHidden/>
          </w:rPr>
        </w:r>
        <w:r>
          <w:rPr>
            <w:noProof/>
            <w:webHidden/>
          </w:rPr>
          <w:fldChar w:fldCharType="separate"/>
        </w:r>
        <w:r>
          <w:rPr>
            <w:noProof/>
            <w:webHidden/>
          </w:rPr>
          <w:t>6</w:t>
        </w:r>
        <w:r>
          <w:rPr>
            <w:noProof/>
            <w:webHidden/>
          </w:rPr>
          <w:fldChar w:fldCharType="end"/>
        </w:r>
      </w:hyperlink>
    </w:p>
    <w:p w14:paraId="03851D62" w14:textId="543AB95E" w:rsidR="003A31D5" w:rsidRDefault="003A31D5">
      <w:pPr>
        <w:pStyle w:val="TOC2"/>
        <w:rPr>
          <w:rFonts w:cstheme="minorBidi"/>
          <w:noProof/>
          <w:kern w:val="2"/>
          <w:sz w:val="24"/>
          <w:szCs w:val="24"/>
          <w:lang w:val="en-PH" w:eastAsia="en-PH"/>
          <w14:ligatures w14:val="standardContextual"/>
        </w:rPr>
      </w:pPr>
      <w:hyperlink w:anchor="_Toc195261849" w:history="1">
        <w:r w:rsidRPr="00BE2CFD">
          <w:rPr>
            <w:rStyle w:val="Hyperlink"/>
            <w:noProof/>
          </w:rPr>
          <w:t>Are stablecoins and NFTs regulated in Gibraltar?</w:t>
        </w:r>
        <w:r>
          <w:rPr>
            <w:noProof/>
            <w:webHidden/>
          </w:rPr>
          <w:tab/>
        </w:r>
        <w:r>
          <w:rPr>
            <w:noProof/>
            <w:webHidden/>
          </w:rPr>
          <w:fldChar w:fldCharType="begin"/>
        </w:r>
        <w:r>
          <w:rPr>
            <w:noProof/>
            <w:webHidden/>
          </w:rPr>
          <w:instrText xml:space="preserve"> PAGEREF _Toc195261849 \h </w:instrText>
        </w:r>
        <w:r>
          <w:rPr>
            <w:noProof/>
            <w:webHidden/>
          </w:rPr>
        </w:r>
        <w:r>
          <w:rPr>
            <w:noProof/>
            <w:webHidden/>
          </w:rPr>
          <w:fldChar w:fldCharType="separate"/>
        </w:r>
        <w:r>
          <w:rPr>
            <w:noProof/>
            <w:webHidden/>
          </w:rPr>
          <w:t>7</w:t>
        </w:r>
        <w:r>
          <w:rPr>
            <w:noProof/>
            <w:webHidden/>
          </w:rPr>
          <w:fldChar w:fldCharType="end"/>
        </w:r>
      </w:hyperlink>
    </w:p>
    <w:p w14:paraId="24C4FBF7" w14:textId="2DCD3B6C" w:rsidR="003A31D5" w:rsidRDefault="003A31D5">
      <w:pPr>
        <w:pStyle w:val="TOC2"/>
        <w:rPr>
          <w:rFonts w:cstheme="minorBidi"/>
          <w:noProof/>
          <w:kern w:val="2"/>
          <w:sz w:val="24"/>
          <w:szCs w:val="24"/>
          <w:lang w:val="en-PH" w:eastAsia="en-PH"/>
          <w14:ligatures w14:val="standardContextual"/>
        </w:rPr>
      </w:pPr>
      <w:hyperlink w:anchor="_Toc195261850" w:history="1">
        <w:r w:rsidRPr="00BE2CFD">
          <w:rPr>
            <w:rStyle w:val="Hyperlink"/>
            <w:noProof/>
          </w:rPr>
          <w:t>Are decentralised finance (DeFi) activities (e.g. lending virtual assets) regulated in Gibraltar?</w:t>
        </w:r>
        <w:r>
          <w:rPr>
            <w:noProof/>
            <w:webHidden/>
          </w:rPr>
          <w:tab/>
        </w:r>
        <w:r>
          <w:rPr>
            <w:noProof/>
            <w:webHidden/>
          </w:rPr>
          <w:fldChar w:fldCharType="begin"/>
        </w:r>
        <w:r>
          <w:rPr>
            <w:noProof/>
            <w:webHidden/>
          </w:rPr>
          <w:instrText xml:space="preserve"> PAGEREF _Toc195261850 \h </w:instrText>
        </w:r>
        <w:r>
          <w:rPr>
            <w:noProof/>
            <w:webHidden/>
          </w:rPr>
        </w:r>
        <w:r>
          <w:rPr>
            <w:noProof/>
            <w:webHidden/>
          </w:rPr>
          <w:fldChar w:fldCharType="separate"/>
        </w:r>
        <w:r>
          <w:rPr>
            <w:noProof/>
            <w:webHidden/>
          </w:rPr>
          <w:t>7</w:t>
        </w:r>
        <w:r>
          <w:rPr>
            <w:noProof/>
            <w:webHidden/>
          </w:rPr>
          <w:fldChar w:fldCharType="end"/>
        </w:r>
      </w:hyperlink>
    </w:p>
    <w:p w14:paraId="3402F185" w14:textId="2D979509" w:rsidR="003A31D5" w:rsidRDefault="003A31D5">
      <w:pPr>
        <w:pStyle w:val="TOC2"/>
        <w:rPr>
          <w:rFonts w:cstheme="minorBidi"/>
          <w:noProof/>
          <w:kern w:val="2"/>
          <w:sz w:val="24"/>
          <w:szCs w:val="24"/>
          <w:lang w:val="en-PH" w:eastAsia="en-PH"/>
          <w14:ligatures w14:val="standardContextual"/>
        </w:rPr>
      </w:pPr>
      <w:hyperlink w:anchor="_Toc195261851" w:history="1">
        <w:r w:rsidRPr="00BE2CFD">
          <w:rPr>
            <w:rStyle w:val="Hyperlink"/>
            <w:noProof/>
          </w:rPr>
          <w:t>Are there any restrictions on issuing or publicly offering virtual assets in Gibraltar?</w:t>
        </w:r>
        <w:r>
          <w:rPr>
            <w:noProof/>
            <w:webHidden/>
          </w:rPr>
          <w:tab/>
        </w:r>
        <w:r>
          <w:rPr>
            <w:noProof/>
            <w:webHidden/>
          </w:rPr>
          <w:fldChar w:fldCharType="begin"/>
        </w:r>
        <w:r>
          <w:rPr>
            <w:noProof/>
            <w:webHidden/>
          </w:rPr>
          <w:instrText xml:space="preserve"> PAGEREF _Toc195261851 \h </w:instrText>
        </w:r>
        <w:r>
          <w:rPr>
            <w:noProof/>
            <w:webHidden/>
          </w:rPr>
        </w:r>
        <w:r>
          <w:rPr>
            <w:noProof/>
            <w:webHidden/>
          </w:rPr>
          <w:fldChar w:fldCharType="separate"/>
        </w:r>
        <w:r>
          <w:rPr>
            <w:noProof/>
            <w:webHidden/>
          </w:rPr>
          <w:t>8</w:t>
        </w:r>
        <w:r>
          <w:rPr>
            <w:noProof/>
            <w:webHidden/>
          </w:rPr>
          <w:fldChar w:fldCharType="end"/>
        </w:r>
      </w:hyperlink>
    </w:p>
    <w:p w14:paraId="6FF85D65" w14:textId="47ED590C" w:rsidR="003A31D5" w:rsidRDefault="003A31D5">
      <w:pPr>
        <w:pStyle w:val="TOC2"/>
        <w:rPr>
          <w:rFonts w:cstheme="minorBidi"/>
          <w:noProof/>
          <w:kern w:val="2"/>
          <w:sz w:val="24"/>
          <w:szCs w:val="24"/>
          <w:lang w:val="en-PH" w:eastAsia="en-PH"/>
          <w14:ligatures w14:val="standardContextual"/>
        </w:rPr>
      </w:pPr>
      <w:hyperlink w:anchor="_Toc195261852" w:history="1">
        <w:r w:rsidRPr="00BE2CFD">
          <w:rPr>
            <w:rStyle w:val="Hyperlink"/>
            <w:noProof/>
          </w:rPr>
          <w:t>Are there any exemptions to the restrictions on issuing or publicly offering of virtual assets in Gibraltar?</w:t>
        </w:r>
        <w:r>
          <w:rPr>
            <w:noProof/>
            <w:webHidden/>
          </w:rPr>
          <w:tab/>
        </w:r>
        <w:r>
          <w:rPr>
            <w:noProof/>
            <w:webHidden/>
          </w:rPr>
          <w:fldChar w:fldCharType="begin"/>
        </w:r>
        <w:r>
          <w:rPr>
            <w:noProof/>
            <w:webHidden/>
          </w:rPr>
          <w:instrText xml:space="preserve"> PAGEREF _Toc195261852 \h </w:instrText>
        </w:r>
        <w:r>
          <w:rPr>
            <w:noProof/>
            <w:webHidden/>
          </w:rPr>
        </w:r>
        <w:r>
          <w:rPr>
            <w:noProof/>
            <w:webHidden/>
          </w:rPr>
          <w:fldChar w:fldCharType="separate"/>
        </w:r>
        <w:r>
          <w:rPr>
            <w:noProof/>
            <w:webHidden/>
          </w:rPr>
          <w:t>9</w:t>
        </w:r>
        <w:r>
          <w:rPr>
            <w:noProof/>
            <w:webHidden/>
          </w:rPr>
          <w:fldChar w:fldCharType="end"/>
        </w:r>
      </w:hyperlink>
    </w:p>
    <w:p w14:paraId="2623E2FB" w14:textId="19B6E0E6" w:rsidR="003A31D5" w:rsidRDefault="003A31D5">
      <w:pPr>
        <w:pStyle w:val="TOC1"/>
        <w:tabs>
          <w:tab w:val="left" w:pos="480"/>
          <w:tab w:val="right" w:leader="dot" w:pos="9350"/>
        </w:tabs>
        <w:rPr>
          <w:rFonts w:cstheme="minorBidi"/>
          <w:b w:val="0"/>
          <w:noProof/>
          <w:kern w:val="2"/>
          <w:sz w:val="24"/>
          <w:szCs w:val="24"/>
          <w:lang w:val="en-PH" w:eastAsia="en-PH"/>
          <w14:ligatures w14:val="standardContextual"/>
        </w:rPr>
      </w:pPr>
      <w:hyperlink w:anchor="_Toc195261853" w:history="1">
        <w:r w:rsidRPr="00BE2CFD">
          <w:rPr>
            <w:rStyle w:val="Hyperlink"/>
            <w:bCs/>
            <w:noProof/>
          </w:rPr>
          <w:t>3.</w:t>
        </w:r>
        <w:r>
          <w:rPr>
            <w:rFonts w:cstheme="minorBidi"/>
            <w:b w:val="0"/>
            <w:noProof/>
            <w:kern w:val="2"/>
            <w:sz w:val="24"/>
            <w:szCs w:val="24"/>
            <w:lang w:val="en-PH" w:eastAsia="en-PH"/>
            <w14:ligatures w14:val="standardContextual"/>
          </w:rPr>
          <w:tab/>
        </w:r>
        <w:r w:rsidRPr="00BE2CFD">
          <w:rPr>
            <w:rStyle w:val="Hyperlink"/>
            <w:noProof/>
          </w:rPr>
          <w:t>Regulation of VASPs in Gibraltar</w:t>
        </w:r>
        <w:r>
          <w:rPr>
            <w:noProof/>
            <w:webHidden/>
          </w:rPr>
          <w:tab/>
        </w:r>
        <w:r>
          <w:rPr>
            <w:noProof/>
            <w:webHidden/>
          </w:rPr>
          <w:fldChar w:fldCharType="begin"/>
        </w:r>
        <w:r>
          <w:rPr>
            <w:noProof/>
            <w:webHidden/>
          </w:rPr>
          <w:instrText xml:space="preserve"> PAGEREF _Toc195261853 \h </w:instrText>
        </w:r>
        <w:r>
          <w:rPr>
            <w:noProof/>
            <w:webHidden/>
          </w:rPr>
        </w:r>
        <w:r>
          <w:rPr>
            <w:noProof/>
            <w:webHidden/>
          </w:rPr>
          <w:fldChar w:fldCharType="separate"/>
        </w:r>
        <w:r>
          <w:rPr>
            <w:noProof/>
            <w:webHidden/>
          </w:rPr>
          <w:t>9</w:t>
        </w:r>
        <w:r>
          <w:rPr>
            <w:noProof/>
            <w:webHidden/>
          </w:rPr>
          <w:fldChar w:fldCharType="end"/>
        </w:r>
      </w:hyperlink>
    </w:p>
    <w:p w14:paraId="49C77141" w14:textId="00332AF5" w:rsidR="003A31D5" w:rsidRDefault="003A31D5">
      <w:pPr>
        <w:pStyle w:val="TOC2"/>
        <w:rPr>
          <w:rFonts w:cstheme="minorBidi"/>
          <w:noProof/>
          <w:kern w:val="2"/>
          <w:sz w:val="24"/>
          <w:szCs w:val="24"/>
          <w:lang w:val="en-PH" w:eastAsia="en-PH"/>
          <w14:ligatures w14:val="standardContextual"/>
        </w:rPr>
      </w:pPr>
      <w:hyperlink w:anchor="_Toc195261854" w:history="1">
        <w:r w:rsidRPr="00BE2CFD">
          <w:rPr>
            <w:rStyle w:val="Hyperlink"/>
            <w:noProof/>
          </w:rPr>
          <w:t>Are VASPs operating in Gibraltar subject to regulation?</w:t>
        </w:r>
        <w:r>
          <w:rPr>
            <w:noProof/>
            <w:webHidden/>
          </w:rPr>
          <w:tab/>
        </w:r>
        <w:r>
          <w:rPr>
            <w:noProof/>
            <w:webHidden/>
          </w:rPr>
          <w:fldChar w:fldCharType="begin"/>
        </w:r>
        <w:r>
          <w:rPr>
            <w:noProof/>
            <w:webHidden/>
          </w:rPr>
          <w:instrText xml:space="preserve"> PAGEREF _Toc195261854 \h </w:instrText>
        </w:r>
        <w:r>
          <w:rPr>
            <w:noProof/>
            <w:webHidden/>
          </w:rPr>
        </w:r>
        <w:r>
          <w:rPr>
            <w:noProof/>
            <w:webHidden/>
          </w:rPr>
          <w:fldChar w:fldCharType="separate"/>
        </w:r>
        <w:r>
          <w:rPr>
            <w:noProof/>
            <w:webHidden/>
          </w:rPr>
          <w:t>9</w:t>
        </w:r>
        <w:r>
          <w:rPr>
            <w:noProof/>
            <w:webHidden/>
          </w:rPr>
          <w:fldChar w:fldCharType="end"/>
        </w:r>
      </w:hyperlink>
    </w:p>
    <w:p w14:paraId="03509BB1" w14:textId="085179C6" w:rsidR="003A31D5" w:rsidRDefault="003A31D5">
      <w:pPr>
        <w:pStyle w:val="TOC2"/>
        <w:rPr>
          <w:rFonts w:cstheme="minorBidi"/>
          <w:noProof/>
          <w:kern w:val="2"/>
          <w:sz w:val="24"/>
          <w:szCs w:val="24"/>
          <w:lang w:val="en-PH" w:eastAsia="en-PH"/>
          <w14:ligatures w14:val="standardContextual"/>
        </w:rPr>
      </w:pPr>
      <w:hyperlink w:anchor="_Toc195261855" w:history="1">
        <w:r w:rsidRPr="00BE2CFD">
          <w:rPr>
            <w:rStyle w:val="Hyperlink"/>
            <w:noProof/>
          </w:rPr>
          <w:t>Are VASPs providing virtual asset services from offshore to persons in Gibraltar subject to regulation in Gibraltar?</w:t>
        </w:r>
        <w:r>
          <w:rPr>
            <w:noProof/>
            <w:webHidden/>
          </w:rPr>
          <w:tab/>
        </w:r>
        <w:r>
          <w:rPr>
            <w:noProof/>
            <w:webHidden/>
          </w:rPr>
          <w:fldChar w:fldCharType="begin"/>
        </w:r>
        <w:r>
          <w:rPr>
            <w:noProof/>
            <w:webHidden/>
          </w:rPr>
          <w:instrText xml:space="preserve"> PAGEREF _Toc195261855 \h </w:instrText>
        </w:r>
        <w:r>
          <w:rPr>
            <w:noProof/>
            <w:webHidden/>
          </w:rPr>
        </w:r>
        <w:r>
          <w:rPr>
            <w:noProof/>
            <w:webHidden/>
          </w:rPr>
          <w:fldChar w:fldCharType="separate"/>
        </w:r>
        <w:r>
          <w:rPr>
            <w:noProof/>
            <w:webHidden/>
          </w:rPr>
          <w:t>10</w:t>
        </w:r>
        <w:r>
          <w:rPr>
            <w:noProof/>
            <w:webHidden/>
          </w:rPr>
          <w:fldChar w:fldCharType="end"/>
        </w:r>
      </w:hyperlink>
    </w:p>
    <w:p w14:paraId="467176F2" w14:textId="0950FB2B" w:rsidR="003A31D5" w:rsidRDefault="003A31D5">
      <w:pPr>
        <w:pStyle w:val="TOC2"/>
        <w:rPr>
          <w:rFonts w:cstheme="minorBidi"/>
          <w:noProof/>
          <w:kern w:val="2"/>
          <w:sz w:val="24"/>
          <w:szCs w:val="24"/>
          <w:lang w:val="en-PH" w:eastAsia="en-PH"/>
          <w14:ligatures w14:val="standardContextual"/>
        </w:rPr>
      </w:pPr>
      <w:hyperlink w:anchor="_Toc195261856" w:history="1">
        <w:r w:rsidRPr="00BE2CFD">
          <w:rPr>
            <w:rStyle w:val="Hyperlink"/>
            <w:noProof/>
          </w:rPr>
          <w:t>What are the main requirements for obtaining licensing / registration as a VASP in Gibraltar?</w:t>
        </w:r>
        <w:r>
          <w:rPr>
            <w:noProof/>
            <w:webHidden/>
          </w:rPr>
          <w:tab/>
        </w:r>
        <w:r>
          <w:rPr>
            <w:noProof/>
            <w:webHidden/>
          </w:rPr>
          <w:fldChar w:fldCharType="begin"/>
        </w:r>
        <w:r>
          <w:rPr>
            <w:noProof/>
            <w:webHidden/>
          </w:rPr>
          <w:instrText xml:space="preserve"> PAGEREF _Toc195261856 \h </w:instrText>
        </w:r>
        <w:r>
          <w:rPr>
            <w:noProof/>
            <w:webHidden/>
          </w:rPr>
        </w:r>
        <w:r>
          <w:rPr>
            <w:noProof/>
            <w:webHidden/>
          </w:rPr>
          <w:fldChar w:fldCharType="separate"/>
        </w:r>
        <w:r>
          <w:rPr>
            <w:noProof/>
            <w:webHidden/>
          </w:rPr>
          <w:t>10</w:t>
        </w:r>
        <w:r>
          <w:rPr>
            <w:noProof/>
            <w:webHidden/>
          </w:rPr>
          <w:fldChar w:fldCharType="end"/>
        </w:r>
      </w:hyperlink>
    </w:p>
    <w:p w14:paraId="09ECEAC0" w14:textId="36EB5FA8" w:rsidR="003A31D5" w:rsidRDefault="003A31D5">
      <w:pPr>
        <w:pStyle w:val="TOC2"/>
        <w:rPr>
          <w:rFonts w:cstheme="minorBidi"/>
          <w:noProof/>
          <w:kern w:val="2"/>
          <w:sz w:val="24"/>
          <w:szCs w:val="24"/>
          <w:lang w:val="en-PH" w:eastAsia="en-PH"/>
          <w14:ligatures w14:val="standardContextual"/>
        </w:rPr>
      </w:pPr>
      <w:hyperlink w:anchor="_Toc195261857" w:history="1">
        <w:r w:rsidRPr="00BE2CFD">
          <w:rPr>
            <w:rStyle w:val="Hyperlink"/>
            <w:noProof/>
          </w:rPr>
          <w:t>What are the main ongoing requirements for VASPs regulated in Gibraltar?</w:t>
        </w:r>
        <w:r>
          <w:rPr>
            <w:noProof/>
            <w:webHidden/>
          </w:rPr>
          <w:tab/>
        </w:r>
        <w:r>
          <w:rPr>
            <w:noProof/>
            <w:webHidden/>
          </w:rPr>
          <w:fldChar w:fldCharType="begin"/>
        </w:r>
        <w:r>
          <w:rPr>
            <w:noProof/>
            <w:webHidden/>
          </w:rPr>
          <w:instrText xml:space="preserve"> PAGEREF _Toc195261857 \h </w:instrText>
        </w:r>
        <w:r>
          <w:rPr>
            <w:noProof/>
            <w:webHidden/>
          </w:rPr>
        </w:r>
        <w:r>
          <w:rPr>
            <w:noProof/>
            <w:webHidden/>
          </w:rPr>
          <w:fldChar w:fldCharType="separate"/>
        </w:r>
        <w:r>
          <w:rPr>
            <w:noProof/>
            <w:webHidden/>
          </w:rPr>
          <w:t>11</w:t>
        </w:r>
        <w:r>
          <w:rPr>
            <w:noProof/>
            <w:webHidden/>
          </w:rPr>
          <w:fldChar w:fldCharType="end"/>
        </w:r>
      </w:hyperlink>
    </w:p>
    <w:p w14:paraId="60F68125" w14:textId="754BC61C" w:rsidR="003A31D5" w:rsidRDefault="003A31D5">
      <w:pPr>
        <w:pStyle w:val="TOC2"/>
        <w:rPr>
          <w:rFonts w:cstheme="minorBidi"/>
          <w:noProof/>
          <w:kern w:val="2"/>
          <w:sz w:val="24"/>
          <w:szCs w:val="24"/>
          <w:lang w:val="en-PH" w:eastAsia="en-PH"/>
          <w14:ligatures w14:val="standardContextual"/>
        </w:rPr>
      </w:pPr>
      <w:hyperlink w:anchor="_Toc195261858" w:history="1">
        <w:r w:rsidRPr="00BE2CFD">
          <w:rPr>
            <w:rStyle w:val="Hyperlink"/>
            <w:noProof/>
          </w:rPr>
          <w:t>What are the main restrictions on VASPs in Gibraltar?</w:t>
        </w:r>
        <w:r>
          <w:rPr>
            <w:noProof/>
            <w:webHidden/>
          </w:rPr>
          <w:tab/>
        </w:r>
        <w:r>
          <w:rPr>
            <w:noProof/>
            <w:webHidden/>
          </w:rPr>
          <w:fldChar w:fldCharType="begin"/>
        </w:r>
        <w:r>
          <w:rPr>
            <w:noProof/>
            <w:webHidden/>
          </w:rPr>
          <w:instrText xml:space="preserve"> PAGEREF _Toc195261858 \h </w:instrText>
        </w:r>
        <w:r>
          <w:rPr>
            <w:noProof/>
            <w:webHidden/>
          </w:rPr>
        </w:r>
        <w:r>
          <w:rPr>
            <w:noProof/>
            <w:webHidden/>
          </w:rPr>
          <w:fldChar w:fldCharType="separate"/>
        </w:r>
        <w:r>
          <w:rPr>
            <w:noProof/>
            <w:webHidden/>
          </w:rPr>
          <w:t>12</w:t>
        </w:r>
        <w:r>
          <w:rPr>
            <w:noProof/>
            <w:webHidden/>
          </w:rPr>
          <w:fldChar w:fldCharType="end"/>
        </w:r>
      </w:hyperlink>
    </w:p>
    <w:p w14:paraId="6BC54786" w14:textId="3A10B9CD" w:rsidR="003A31D5" w:rsidRDefault="003A31D5">
      <w:pPr>
        <w:pStyle w:val="TOC2"/>
        <w:rPr>
          <w:rFonts w:cstheme="minorBidi"/>
          <w:noProof/>
          <w:kern w:val="2"/>
          <w:sz w:val="24"/>
          <w:szCs w:val="24"/>
          <w:lang w:val="en-PH" w:eastAsia="en-PH"/>
          <w14:ligatures w14:val="standardContextual"/>
        </w:rPr>
      </w:pPr>
      <w:hyperlink w:anchor="_Toc195261859" w:history="1">
        <w:r w:rsidRPr="00BE2CFD">
          <w:rPr>
            <w:rStyle w:val="Hyperlink"/>
            <w:noProof/>
          </w:rPr>
          <w:t>What are the main information that VASPs have to make available to its customers?</w:t>
        </w:r>
        <w:r>
          <w:rPr>
            <w:noProof/>
            <w:webHidden/>
          </w:rPr>
          <w:tab/>
        </w:r>
        <w:r>
          <w:rPr>
            <w:noProof/>
            <w:webHidden/>
          </w:rPr>
          <w:fldChar w:fldCharType="begin"/>
        </w:r>
        <w:r>
          <w:rPr>
            <w:noProof/>
            <w:webHidden/>
          </w:rPr>
          <w:instrText xml:space="preserve"> PAGEREF _Toc195261859 \h </w:instrText>
        </w:r>
        <w:r>
          <w:rPr>
            <w:noProof/>
            <w:webHidden/>
          </w:rPr>
        </w:r>
        <w:r>
          <w:rPr>
            <w:noProof/>
            <w:webHidden/>
          </w:rPr>
          <w:fldChar w:fldCharType="separate"/>
        </w:r>
        <w:r>
          <w:rPr>
            <w:noProof/>
            <w:webHidden/>
          </w:rPr>
          <w:t>13</w:t>
        </w:r>
        <w:r>
          <w:rPr>
            <w:noProof/>
            <w:webHidden/>
          </w:rPr>
          <w:fldChar w:fldCharType="end"/>
        </w:r>
      </w:hyperlink>
    </w:p>
    <w:p w14:paraId="0A55CCC7" w14:textId="25EE9E2C" w:rsidR="003A31D5" w:rsidRDefault="003A31D5">
      <w:pPr>
        <w:pStyle w:val="TOC2"/>
        <w:rPr>
          <w:rFonts w:cstheme="minorBidi"/>
          <w:noProof/>
          <w:kern w:val="2"/>
          <w:sz w:val="24"/>
          <w:szCs w:val="24"/>
          <w:lang w:val="en-PH" w:eastAsia="en-PH"/>
          <w14:ligatures w14:val="standardContextual"/>
        </w:rPr>
      </w:pPr>
      <w:hyperlink w:anchor="_Toc195261860" w:history="1">
        <w:r w:rsidRPr="00BE2CFD">
          <w:rPr>
            <w:rStyle w:val="Hyperlink"/>
            <w:noProof/>
          </w:rPr>
          <w:t>What market misconduct legislation/regulations apply to virtual assets?</w:t>
        </w:r>
        <w:r>
          <w:rPr>
            <w:noProof/>
            <w:webHidden/>
          </w:rPr>
          <w:tab/>
        </w:r>
        <w:r>
          <w:rPr>
            <w:noProof/>
            <w:webHidden/>
          </w:rPr>
          <w:fldChar w:fldCharType="begin"/>
        </w:r>
        <w:r>
          <w:rPr>
            <w:noProof/>
            <w:webHidden/>
          </w:rPr>
          <w:instrText xml:space="preserve"> PAGEREF _Toc195261860 \h </w:instrText>
        </w:r>
        <w:r>
          <w:rPr>
            <w:noProof/>
            <w:webHidden/>
          </w:rPr>
        </w:r>
        <w:r>
          <w:rPr>
            <w:noProof/>
            <w:webHidden/>
          </w:rPr>
          <w:fldChar w:fldCharType="separate"/>
        </w:r>
        <w:r>
          <w:rPr>
            <w:noProof/>
            <w:webHidden/>
          </w:rPr>
          <w:t>13</w:t>
        </w:r>
        <w:r>
          <w:rPr>
            <w:noProof/>
            <w:webHidden/>
          </w:rPr>
          <w:fldChar w:fldCharType="end"/>
        </w:r>
      </w:hyperlink>
    </w:p>
    <w:p w14:paraId="189DB3C1" w14:textId="26A73CEB" w:rsidR="003A31D5" w:rsidRDefault="003A31D5">
      <w:pPr>
        <w:pStyle w:val="TOC1"/>
        <w:tabs>
          <w:tab w:val="left" w:pos="480"/>
          <w:tab w:val="right" w:leader="dot" w:pos="9350"/>
        </w:tabs>
        <w:rPr>
          <w:rFonts w:cstheme="minorBidi"/>
          <w:b w:val="0"/>
          <w:noProof/>
          <w:kern w:val="2"/>
          <w:sz w:val="24"/>
          <w:szCs w:val="24"/>
          <w:lang w:val="en-PH" w:eastAsia="en-PH"/>
          <w14:ligatures w14:val="standardContextual"/>
        </w:rPr>
      </w:pPr>
      <w:hyperlink w:anchor="_Toc195261861" w:history="1">
        <w:r w:rsidRPr="00BE2CFD">
          <w:rPr>
            <w:rStyle w:val="Hyperlink"/>
            <w:bCs/>
            <w:noProof/>
          </w:rPr>
          <w:t>4.</w:t>
        </w:r>
        <w:r>
          <w:rPr>
            <w:rFonts w:cstheme="minorBidi"/>
            <w:b w:val="0"/>
            <w:noProof/>
            <w:kern w:val="2"/>
            <w:sz w:val="24"/>
            <w:szCs w:val="24"/>
            <w:lang w:val="en-PH" w:eastAsia="en-PH"/>
            <w14:ligatures w14:val="standardContextual"/>
          </w:rPr>
          <w:tab/>
        </w:r>
        <w:r w:rsidRPr="00BE2CFD">
          <w:rPr>
            <w:rStyle w:val="Hyperlink"/>
            <w:noProof/>
          </w:rPr>
          <w:t>Regulation of other crypto-related activities in Gibraltar</w:t>
        </w:r>
        <w:r>
          <w:rPr>
            <w:noProof/>
            <w:webHidden/>
          </w:rPr>
          <w:tab/>
        </w:r>
        <w:r>
          <w:rPr>
            <w:noProof/>
            <w:webHidden/>
          </w:rPr>
          <w:fldChar w:fldCharType="begin"/>
        </w:r>
        <w:r>
          <w:rPr>
            <w:noProof/>
            <w:webHidden/>
          </w:rPr>
          <w:instrText xml:space="preserve"> PAGEREF _Toc195261861 \h </w:instrText>
        </w:r>
        <w:r>
          <w:rPr>
            <w:noProof/>
            <w:webHidden/>
          </w:rPr>
        </w:r>
        <w:r>
          <w:rPr>
            <w:noProof/>
            <w:webHidden/>
          </w:rPr>
          <w:fldChar w:fldCharType="separate"/>
        </w:r>
        <w:r>
          <w:rPr>
            <w:noProof/>
            <w:webHidden/>
          </w:rPr>
          <w:t>14</w:t>
        </w:r>
        <w:r>
          <w:rPr>
            <w:noProof/>
            <w:webHidden/>
          </w:rPr>
          <w:fldChar w:fldCharType="end"/>
        </w:r>
      </w:hyperlink>
    </w:p>
    <w:p w14:paraId="7505B532" w14:textId="0110432A" w:rsidR="003A31D5" w:rsidRDefault="003A31D5">
      <w:pPr>
        <w:pStyle w:val="TOC2"/>
        <w:rPr>
          <w:rFonts w:cstheme="minorBidi"/>
          <w:noProof/>
          <w:kern w:val="2"/>
          <w:sz w:val="24"/>
          <w:szCs w:val="24"/>
          <w:lang w:val="en-PH" w:eastAsia="en-PH"/>
          <w14:ligatures w14:val="standardContextual"/>
        </w:rPr>
      </w:pPr>
      <w:hyperlink w:anchor="_Toc195261862" w:history="1">
        <w:r w:rsidRPr="00BE2CFD">
          <w:rPr>
            <w:rStyle w:val="Hyperlink"/>
            <w:noProof/>
          </w:rPr>
          <w:t>Are managers of crypto funds regulated in Gibraltar?</w:t>
        </w:r>
        <w:r>
          <w:rPr>
            <w:noProof/>
            <w:webHidden/>
          </w:rPr>
          <w:tab/>
        </w:r>
        <w:r>
          <w:rPr>
            <w:noProof/>
            <w:webHidden/>
          </w:rPr>
          <w:fldChar w:fldCharType="begin"/>
        </w:r>
        <w:r>
          <w:rPr>
            <w:noProof/>
            <w:webHidden/>
          </w:rPr>
          <w:instrText xml:space="preserve"> PAGEREF _Toc195261862 \h </w:instrText>
        </w:r>
        <w:r>
          <w:rPr>
            <w:noProof/>
            <w:webHidden/>
          </w:rPr>
        </w:r>
        <w:r>
          <w:rPr>
            <w:noProof/>
            <w:webHidden/>
          </w:rPr>
          <w:fldChar w:fldCharType="separate"/>
        </w:r>
        <w:r>
          <w:rPr>
            <w:noProof/>
            <w:webHidden/>
          </w:rPr>
          <w:t>14</w:t>
        </w:r>
        <w:r>
          <w:rPr>
            <w:noProof/>
            <w:webHidden/>
          </w:rPr>
          <w:fldChar w:fldCharType="end"/>
        </w:r>
      </w:hyperlink>
    </w:p>
    <w:p w14:paraId="7705474E" w14:textId="2EC5FBE1" w:rsidR="003A31D5" w:rsidRDefault="003A31D5">
      <w:pPr>
        <w:pStyle w:val="TOC2"/>
        <w:rPr>
          <w:rFonts w:cstheme="minorBidi"/>
          <w:noProof/>
          <w:kern w:val="2"/>
          <w:sz w:val="24"/>
          <w:szCs w:val="24"/>
          <w:lang w:val="en-PH" w:eastAsia="en-PH"/>
          <w14:ligatures w14:val="standardContextual"/>
        </w:rPr>
      </w:pPr>
      <w:hyperlink w:anchor="_Toc195261863" w:history="1">
        <w:r w:rsidRPr="00BE2CFD">
          <w:rPr>
            <w:rStyle w:val="Hyperlink"/>
            <w:noProof/>
          </w:rPr>
          <w:t>Are distributors of virtual asset funds regulated in Gibraltar?</w:t>
        </w:r>
        <w:r>
          <w:rPr>
            <w:noProof/>
            <w:webHidden/>
          </w:rPr>
          <w:tab/>
        </w:r>
        <w:r>
          <w:rPr>
            <w:noProof/>
            <w:webHidden/>
          </w:rPr>
          <w:fldChar w:fldCharType="begin"/>
        </w:r>
        <w:r>
          <w:rPr>
            <w:noProof/>
            <w:webHidden/>
          </w:rPr>
          <w:instrText xml:space="preserve"> PAGEREF _Toc195261863 \h </w:instrText>
        </w:r>
        <w:r>
          <w:rPr>
            <w:noProof/>
            <w:webHidden/>
          </w:rPr>
        </w:r>
        <w:r>
          <w:rPr>
            <w:noProof/>
            <w:webHidden/>
          </w:rPr>
          <w:fldChar w:fldCharType="separate"/>
        </w:r>
        <w:r>
          <w:rPr>
            <w:noProof/>
            <w:webHidden/>
          </w:rPr>
          <w:t>14</w:t>
        </w:r>
        <w:r>
          <w:rPr>
            <w:noProof/>
            <w:webHidden/>
          </w:rPr>
          <w:fldChar w:fldCharType="end"/>
        </w:r>
      </w:hyperlink>
    </w:p>
    <w:p w14:paraId="208D7D30" w14:textId="05B7786A" w:rsidR="003A31D5" w:rsidRDefault="003A31D5">
      <w:pPr>
        <w:pStyle w:val="TOC2"/>
        <w:rPr>
          <w:rFonts w:cstheme="minorBidi"/>
          <w:noProof/>
          <w:kern w:val="2"/>
          <w:sz w:val="24"/>
          <w:szCs w:val="24"/>
          <w:lang w:val="en-PH" w:eastAsia="en-PH"/>
          <w14:ligatures w14:val="standardContextual"/>
        </w:rPr>
      </w:pPr>
      <w:hyperlink w:anchor="_Toc195261864" w:history="1">
        <w:r w:rsidRPr="00BE2CFD">
          <w:rPr>
            <w:rStyle w:val="Hyperlink"/>
            <w:noProof/>
          </w:rPr>
          <w:t>Are there requirements for intermediaries seeking to provide trading in virtual assets for clients or advise clients on virtual assets in Gibraltar?</w:t>
        </w:r>
        <w:r>
          <w:rPr>
            <w:noProof/>
            <w:webHidden/>
          </w:rPr>
          <w:tab/>
        </w:r>
        <w:r>
          <w:rPr>
            <w:noProof/>
            <w:webHidden/>
          </w:rPr>
          <w:fldChar w:fldCharType="begin"/>
        </w:r>
        <w:r>
          <w:rPr>
            <w:noProof/>
            <w:webHidden/>
          </w:rPr>
          <w:instrText xml:space="preserve"> PAGEREF _Toc195261864 \h </w:instrText>
        </w:r>
        <w:r>
          <w:rPr>
            <w:noProof/>
            <w:webHidden/>
          </w:rPr>
        </w:r>
        <w:r>
          <w:rPr>
            <w:noProof/>
            <w:webHidden/>
          </w:rPr>
          <w:fldChar w:fldCharType="separate"/>
        </w:r>
        <w:r>
          <w:rPr>
            <w:noProof/>
            <w:webHidden/>
          </w:rPr>
          <w:t>15</w:t>
        </w:r>
        <w:r>
          <w:rPr>
            <w:noProof/>
            <w:webHidden/>
          </w:rPr>
          <w:fldChar w:fldCharType="end"/>
        </w:r>
      </w:hyperlink>
    </w:p>
    <w:p w14:paraId="6F086C08" w14:textId="4444DED6" w:rsidR="003A31D5" w:rsidRDefault="003A31D5">
      <w:pPr>
        <w:pStyle w:val="TOC1"/>
        <w:tabs>
          <w:tab w:val="left" w:pos="480"/>
          <w:tab w:val="right" w:leader="dot" w:pos="9350"/>
        </w:tabs>
        <w:rPr>
          <w:rFonts w:cstheme="minorBidi"/>
          <w:b w:val="0"/>
          <w:noProof/>
          <w:kern w:val="2"/>
          <w:sz w:val="24"/>
          <w:szCs w:val="24"/>
          <w:lang w:val="en-PH" w:eastAsia="en-PH"/>
          <w14:ligatures w14:val="standardContextual"/>
        </w:rPr>
      </w:pPr>
      <w:hyperlink w:anchor="_Toc195261865" w:history="1">
        <w:r w:rsidRPr="00BE2CFD">
          <w:rPr>
            <w:rStyle w:val="Hyperlink"/>
            <w:bCs/>
            <w:noProof/>
          </w:rPr>
          <w:t>5.</w:t>
        </w:r>
        <w:r>
          <w:rPr>
            <w:rFonts w:cstheme="minorBidi"/>
            <w:b w:val="0"/>
            <w:noProof/>
            <w:kern w:val="2"/>
            <w:sz w:val="24"/>
            <w:szCs w:val="24"/>
            <w:lang w:val="en-PH" w:eastAsia="en-PH"/>
            <w14:ligatures w14:val="standardContextual"/>
          </w:rPr>
          <w:tab/>
        </w:r>
        <w:r w:rsidRPr="00BE2CFD">
          <w:rPr>
            <w:rStyle w:val="Hyperlink"/>
            <w:noProof/>
          </w:rPr>
          <w:t>Other relevant regulatory information</w:t>
        </w:r>
        <w:r>
          <w:rPr>
            <w:noProof/>
            <w:webHidden/>
          </w:rPr>
          <w:tab/>
        </w:r>
        <w:r>
          <w:rPr>
            <w:noProof/>
            <w:webHidden/>
          </w:rPr>
          <w:fldChar w:fldCharType="begin"/>
        </w:r>
        <w:r>
          <w:rPr>
            <w:noProof/>
            <w:webHidden/>
          </w:rPr>
          <w:instrText xml:space="preserve"> PAGEREF _Toc195261865 \h </w:instrText>
        </w:r>
        <w:r>
          <w:rPr>
            <w:noProof/>
            <w:webHidden/>
          </w:rPr>
        </w:r>
        <w:r>
          <w:rPr>
            <w:noProof/>
            <w:webHidden/>
          </w:rPr>
          <w:fldChar w:fldCharType="separate"/>
        </w:r>
        <w:r>
          <w:rPr>
            <w:noProof/>
            <w:webHidden/>
          </w:rPr>
          <w:t>15</w:t>
        </w:r>
        <w:r>
          <w:rPr>
            <w:noProof/>
            <w:webHidden/>
          </w:rPr>
          <w:fldChar w:fldCharType="end"/>
        </w:r>
      </w:hyperlink>
    </w:p>
    <w:p w14:paraId="312567B1" w14:textId="4592265C" w:rsidR="003A31D5" w:rsidRDefault="003A31D5">
      <w:pPr>
        <w:pStyle w:val="TOC2"/>
        <w:rPr>
          <w:rFonts w:cstheme="minorBidi"/>
          <w:noProof/>
          <w:kern w:val="2"/>
          <w:sz w:val="24"/>
          <w:szCs w:val="24"/>
          <w:lang w:val="en-PH" w:eastAsia="en-PH"/>
          <w14:ligatures w14:val="standardContextual"/>
        </w:rPr>
      </w:pPr>
      <w:hyperlink w:anchor="_Toc195261866" w:history="1">
        <w:r w:rsidRPr="00BE2CFD">
          <w:rPr>
            <w:rStyle w:val="Hyperlink"/>
            <w:noProof/>
          </w:rPr>
          <w:t>Are there any upcoming regulatory developments in respect of crypto-related activity in Gibraltar?</w:t>
        </w:r>
        <w:r>
          <w:rPr>
            <w:noProof/>
            <w:webHidden/>
          </w:rPr>
          <w:tab/>
        </w:r>
        <w:r>
          <w:rPr>
            <w:noProof/>
            <w:webHidden/>
          </w:rPr>
          <w:fldChar w:fldCharType="begin"/>
        </w:r>
        <w:r>
          <w:rPr>
            <w:noProof/>
            <w:webHidden/>
          </w:rPr>
          <w:instrText xml:space="preserve"> PAGEREF _Toc195261866 \h </w:instrText>
        </w:r>
        <w:r>
          <w:rPr>
            <w:noProof/>
            <w:webHidden/>
          </w:rPr>
        </w:r>
        <w:r>
          <w:rPr>
            <w:noProof/>
            <w:webHidden/>
          </w:rPr>
          <w:fldChar w:fldCharType="separate"/>
        </w:r>
        <w:r>
          <w:rPr>
            <w:noProof/>
            <w:webHidden/>
          </w:rPr>
          <w:t>15</w:t>
        </w:r>
        <w:r>
          <w:rPr>
            <w:noProof/>
            <w:webHidden/>
          </w:rPr>
          <w:fldChar w:fldCharType="end"/>
        </w:r>
      </w:hyperlink>
    </w:p>
    <w:p w14:paraId="0307C3A7" w14:textId="45FA10ED" w:rsidR="003A31D5" w:rsidRDefault="003A31D5">
      <w:pPr>
        <w:pStyle w:val="TOC2"/>
        <w:rPr>
          <w:rFonts w:cstheme="minorBidi"/>
          <w:noProof/>
          <w:kern w:val="2"/>
          <w:sz w:val="24"/>
          <w:szCs w:val="24"/>
          <w:lang w:val="en-PH" w:eastAsia="en-PH"/>
          <w14:ligatures w14:val="standardContextual"/>
        </w:rPr>
      </w:pPr>
      <w:hyperlink w:anchor="_Toc195261867" w:history="1">
        <w:r w:rsidRPr="00BE2CFD">
          <w:rPr>
            <w:rStyle w:val="Hyperlink"/>
            <w:noProof/>
          </w:rPr>
          <w:t>Has there been any notable events in Gibraltar that has prompted regulatory change recently?</w:t>
        </w:r>
        <w:r>
          <w:rPr>
            <w:noProof/>
            <w:webHidden/>
          </w:rPr>
          <w:tab/>
        </w:r>
        <w:r>
          <w:rPr>
            <w:noProof/>
            <w:webHidden/>
          </w:rPr>
          <w:fldChar w:fldCharType="begin"/>
        </w:r>
        <w:r>
          <w:rPr>
            <w:noProof/>
            <w:webHidden/>
          </w:rPr>
          <w:instrText xml:space="preserve"> PAGEREF _Toc195261867 \h </w:instrText>
        </w:r>
        <w:r>
          <w:rPr>
            <w:noProof/>
            <w:webHidden/>
          </w:rPr>
        </w:r>
        <w:r>
          <w:rPr>
            <w:noProof/>
            <w:webHidden/>
          </w:rPr>
          <w:fldChar w:fldCharType="separate"/>
        </w:r>
        <w:r>
          <w:rPr>
            <w:noProof/>
            <w:webHidden/>
          </w:rPr>
          <w:t>15</w:t>
        </w:r>
        <w:r>
          <w:rPr>
            <w:noProof/>
            <w:webHidden/>
          </w:rPr>
          <w:fldChar w:fldCharType="end"/>
        </w:r>
      </w:hyperlink>
    </w:p>
    <w:p w14:paraId="5BE982AE" w14:textId="7E77DE89" w:rsidR="003A31D5" w:rsidRDefault="003A31D5">
      <w:pPr>
        <w:pStyle w:val="TOC1"/>
        <w:tabs>
          <w:tab w:val="left" w:pos="480"/>
          <w:tab w:val="right" w:leader="dot" w:pos="9350"/>
        </w:tabs>
        <w:rPr>
          <w:rFonts w:cstheme="minorBidi"/>
          <w:b w:val="0"/>
          <w:noProof/>
          <w:kern w:val="2"/>
          <w:sz w:val="24"/>
          <w:szCs w:val="24"/>
          <w:lang w:val="en-PH" w:eastAsia="en-PH"/>
          <w14:ligatures w14:val="standardContextual"/>
        </w:rPr>
      </w:pPr>
      <w:hyperlink w:anchor="_Toc195261868" w:history="1">
        <w:r w:rsidRPr="00BE2CFD">
          <w:rPr>
            <w:rStyle w:val="Hyperlink"/>
            <w:bCs/>
            <w:noProof/>
          </w:rPr>
          <w:t>6.</w:t>
        </w:r>
        <w:r>
          <w:rPr>
            <w:rFonts w:cstheme="minorBidi"/>
            <w:b w:val="0"/>
            <w:noProof/>
            <w:kern w:val="2"/>
            <w:sz w:val="24"/>
            <w:szCs w:val="24"/>
            <w:lang w:val="en-PH" w:eastAsia="en-PH"/>
            <w14:ligatures w14:val="standardContextual"/>
          </w:rPr>
          <w:tab/>
        </w:r>
        <w:r w:rsidRPr="00BE2CFD">
          <w:rPr>
            <w:rStyle w:val="Hyperlink"/>
            <w:noProof/>
          </w:rPr>
          <w:t>Pending litigation and judgments related to virtual assets in Gibraltar (if any)</w:t>
        </w:r>
        <w:r>
          <w:rPr>
            <w:noProof/>
            <w:webHidden/>
          </w:rPr>
          <w:tab/>
        </w:r>
        <w:r>
          <w:rPr>
            <w:noProof/>
            <w:webHidden/>
          </w:rPr>
          <w:fldChar w:fldCharType="begin"/>
        </w:r>
        <w:r>
          <w:rPr>
            <w:noProof/>
            <w:webHidden/>
          </w:rPr>
          <w:instrText xml:space="preserve"> PAGEREF _Toc195261868 \h </w:instrText>
        </w:r>
        <w:r>
          <w:rPr>
            <w:noProof/>
            <w:webHidden/>
          </w:rPr>
        </w:r>
        <w:r>
          <w:rPr>
            <w:noProof/>
            <w:webHidden/>
          </w:rPr>
          <w:fldChar w:fldCharType="separate"/>
        </w:r>
        <w:r>
          <w:rPr>
            <w:noProof/>
            <w:webHidden/>
          </w:rPr>
          <w:t>16</w:t>
        </w:r>
        <w:r>
          <w:rPr>
            <w:noProof/>
            <w:webHidden/>
          </w:rPr>
          <w:fldChar w:fldCharType="end"/>
        </w:r>
      </w:hyperlink>
    </w:p>
    <w:p w14:paraId="28474314" w14:textId="7F26DE2A" w:rsidR="003A31D5" w:rsidRDefault="003A31D5">
      <w:pPr>
        <w:pStyle w:val="TOC1"/>
        <w:tabs>
          <w:tab w:val="left" w:pos="480"/>
          <w:tab w:val="right" w:leader="dot" w:pos="9350"/>
        </w:tabs>
        <w:rPr>
          <w:rFonts w:cstheme="minorBidi"/>
          <w:b w:val="0"/>
          <w:noProof/>
          <w:kern w:val="2"/>
          <w:sz w:val="24"/>
          <w:szCs w:val="24"/>
          <w:lang w:val="en-PH" w:eastAsia="en-PH"/>
          <w14:ligatures w14:val="standardContextual"/>
        </w:rPr>
      </w:pPr>
      <w:hyperlink w:anchor="_Toc195261869" w:history="1">
        <w:r w:rsidRPr="00BE2CFD">
          <w:rPr>
            <w:rStyle w:val="Hyperlink"/>
            <w:bCs/>
            <w:noProof/>
          </w:rPr>
          <w:t>7.</w:t>
        </w:r>
        <w:r>
          <w:rPr>
            <w:rFonts w:cstheme="minorBidi"/>
            <w:b w:val="0"/>
            <w:noProof/>
            <w:kern w:val="2"/>
            <w:sz w:val="24"/>
            <w:szCs w:val="24"/>
            <w:lang w:val="en-PH" w:eastAsia="en-PH"/>
            <w14:ligatures w14:val="standardContextual"/>
          </w:rPr>
          <w:tab/>
        </w:r>
        <w:r w:rsidRPr="00BE2CFD">
          <w:rPr>
            <w:rStyle w:val="Hyperlink"/>
            <w:noProof/>
          </w:rPr>
          <w:t>Government outlook on virtual assets and crypto-related activities in Gibraltar</w:t>
        </w:r>
        <w:r>
          <w:rPr>
            <w:noProof/>
            <w:webHidden/>
          </w:rPr>
          <w:tab/>
        </w:r>
        <w:r>
          <w:rPr>
            <w:noProof/>
            <w:webHidden/>
          </w:rPr>
          <w:fldChar w:fldCharType="begin"/>
        </w:r>
        <w:r>
          <w:rPr>
            <w:noProof/>
            <w:webHidden/>
          </w:rPr>
          <w:instrText xml:space="preserve"> PAGEREF _Toc195261869 \h </w:instrText>
        </w:r>
        <w:r>
          <w:rPr>
            <w:noProof/>
            <w:webHidden/>
          </w:rPr>
        </w:r>
        <w:r>
          <w:rPr>
            <w:noProof/>
            <w:webHidden/>
          </w:rPr>
          <w:fldChar w:fldCharType="separate"/>
        </w:r>
        <w:r>
          <w:rPr>
            <w:noProof/>
            <w:webHidden/>
          </w:rPr>
          <w:t>16</w:t>
        </w:r>
        <w:r>
          <w:rPr>
            <w:noProof/>
            <w:webHidden/>
          </w:rPr>
          <w:fldChar w:fldCharType="end"/>
        </w:r>
      </w:hyperlink>
    </w:p>
    <w:p w14:paraId="50E51607" w14:textId="1D32B79F" w:rsidR="003A31D5" w:rsidRDefault="003A31D5">
      <w:pPr>
        <w:pStyle w:val="TOC1"/>
        <w:tabs>
          <w:tab w:val="left" w:pos="480"/>
          <w:tab w:val="right" w:leader="dot" w:pos="9350"/>
        </w:tabs>
        <w:rPr>
          <w:rFonts w:cstheme="minorBidi"/>
          <w:b w:val="0"/>
          <w:noProof/>
          <w:kern w:val="2"/>
          <w:sz w:val="24"/>
          <w:szCs w:val="24"/>
          <w:lang w:val="en-PH" w:eastAsia="en-PH"/>
          <w14:ligatures w14:val="standardContextual"/>
        </w:rPr>
      </w:pPr>
      <w:hyperlink w:anchor="_Toc195261870" w:history="1">
        <w:r w:rsidRPr="00BE2CFD">
          <w:rPr>
            <w:rStyle w:val="Hyperlink"/>
            <w:bCs/>
            <w:noProof/>
          </w:rPr>
          <w:t>8.</w:t>
        </w:r>
        <w:r>
          <w:rPr>
            <w:rFonts w:cstheme="minorBidi"/>
            <w:b w:val="0"/>
            <w:noProof/>
            <w:kern w:val="2"/>
            <w:sz w:val="24"/>
            <w:szCs w:val="24"/>
            <w:lang w:val="en-PH" w:eastAsia="en-PH"/>
            <w14:ligatures w14:val="standardContextual"/>
          </w:rPr>
          <w:tab/>
        </w:r>
        <w:r w:rsidRPr="00BE2CFD">
          <w:rPr>
            <w:rStyle w:val="Hyperlink"/>
            <w:noProof/>
          </w:rPr>
          <w:t>Advantages of setting up a VASP in Gibraltar</w:t>
        </w:r>
        <w:r>
          <w:rPr>
            <w:noProof/>
            <w:webHidden/>
          </w:rPr>
          <w:tab/>
        </w:r>
        <w:r>
          <w:rPr>
            <w:noProof/>
            <w:webHidden/>
          </w:rPr>
          <w:fldChar w:fldCharType="begin"/>
        </w:r>
        <w:r>
          <w:rPr>
            <w:noProof/>
            <w:webHidden/>
          </w:rPr>
          <w:instrText xml:space="preserve"> PAGEREF _Toc195261870 \h </w:instrText>
        </w:r>
        <w:r>
          <w:rPr>
            <w:noProof/>
            <w:webHidden/>
          </w:rPr>
        </w:r>
        <w:r>
          <w:rPr>
            <w:noProof/>
            <w:webHidden/>
          </w:rPr>
          <w:fldChar w:fldCharType="separate"/>
        </w:r>
        <w:r>
          <w:rPr>
            <w:noProof/>
            <w:webHidden/>
          </w:rPr>
          <w:t>17</w:t>
        </w:r>
        <w:r>
          <w:rPr>
            <w:noProof/>
            <w:webHidden/>
          </w:rPr>
          <w:fldChar w:fldCharType="end"/>
        </w:r>
      </w:hyperlink>
    </w:p>
    <w:p w14:paraId="5AA060C9" w14:textId="7F8AFA7B" w:rsidR="003427DB" w:rsidRDefault="003427DB" w:rsidP="003427DB">
      <w:pPr>
        <w:spacing w:after="0" w:line="240" w:lineRule="auto"/>
        <w:jc w:val="both"/>
        <w:rPr>
          <w:rFonts w:cs="Times New Roman"/>
          <w:bCs/>
          <w:color w:val="FF6E00"/>
          <w:sz w:val="20"/>
          <w:lang w:eastAsia="en-US"/>
        </w:rPr>
      </w:pPr>
      <w:r>
        <w:rPr>
          <w:rFonts w:cs="Times New Roman"/>
          <w:bCs/>
          <w:color w:val="FF6E00"/>
          <w:sz w:val="20"/>
          <w:lang w:eastAsia="en-US"/>
        </w:rPr>
        <w:fldChar w:fldCharType="end"/>
      </w:r>
    </w:p>
    <w:p w14:paraId="6E7D012C" w14:textId="77777777" w:rsidR="003427DB" w:rsidRDefault="003427DB" w:rsidP="003427DB">
      <w:pPr>
        <w:spacing w:after="0" w:line="240" w:lineRule="auto"/>
        <w:jc w:val="both"/>
        <w:rPr>
          <w:rFonts w:cs="Times New Roman"/>
          <w:bCs/>
          <w:color w:val="FF6E00"/>
          <w:sz w:val="20"/>
          <w:lang w:eastAsia="en-US"/>
        </w:rPr>
      </w:pPr>
    </w:p>
    <w:p w14:paraId="217451E5" w14:textId="77777777" w:rsidR="003427DB" w:rsidRDefault="003427DB" w:rsidP="003427DB">
      <w:pPr>
        <w:spacing w:after="0" w:line="240" w:lineRule="auto"/>
        <w:jc w:val="both"/>
        <w:rPr>
          <w:b/>
          <w:bCs/>
          <w:color w:val="FF6E00"/>
        </w:rPr>
      </w:pPr>
    </w:p>
    <w:p w14:paraId="0912A8EE" w14:textId="77777777" w:rsidR="00067855" w:rsidRPr="00067855" w:rsidRDefault="00067855" w:rsidP="003427DB">
      <w:pPr>
        <w:pStyle w:val="Heading1"/>
        <w:rPr>
          <w:lang w:val="en-PH"/>
        </w:rPr>
      </w:pPr>
      <w:bookmarkStart w:id="0" w:name="_Toc195261841"/>
      <w:r w:rsidRPr="00067855">
        <w:lastRenderedPageBreak/>
        <w:t xml:space="preserve">Virtual asset </w:t>
      </w:r>
      <w:r w:rsidRPr="003427DB">
        <w:t>laws</w:t>
      </w:r>
      <w:r w:rsidRPr="00067855">
        <w:t xml:space="preserve"> and regulations in </w:t>
      </w:r>
      <w:r w:rsidRPr="00067855">
        <w:rPr>
          <w:bCs/>
          <w:lang w:val="en-PH"/>
        </w:rPr>
        <w:t>Gibraltar</w:t>
      </w:r>
      <w:bookmarkEnd w:id="0"/>
    </w:p>
    <w:p w14:paraId="1C4D123E" w14:textId="77777777" w:rsidR="00067855" w:rsidRPr="00067855" w:rsidRDefault="00067855" w:rsidP="00067855">
      <w:pPr>
        <w:spacing w:after="0" w:line="240" w:lineRule="auto"/>
        <w:ind w:left="360"/>
        <w:jc w:val="both"/>
        <w:rPr>
          <w:rFonts w:eastAsia="Times New Roman" w:cstheme="minorHAnsi"/>
          <w:b/>
          <w:lang w:val="en-PH"/>
        </w:rPr>
      </w:pPr>
    </w:p>
    <w:p w14:paraId="2BE766B0" w14:textId="77777777" w:rsidR="00067855" w:rsidRDefault="00067855" w:rsidP="00067855">
      <w:pPr>
        <w:spacing w:after="0" w:line="240" w:lineRule="auto"/>
        <w:ind w:left="360"/>
        <w:jc w:val="both"/>
        <w:rPr>
          <w:rFonts w:eastAsia="Times New Roman" w:cstheme="minorHAnsi"/>
          <w:lang w:val="en-PH"/>
        </w:rPr>
      </w:pPr>
      <w:r w:rsidRPr="00067855">
        <w:rPr>
          <w:rFonts w:eastAsia="Times New Roman" w:cstheme="minorHAnsi"/>
          <w:lang w:val="en-PH"/>
        </w:rPr>
        <w:t>The Gibraltar Financial Services Commission (</w:t>
      </w:r>
      <w:hyperlink r:id="rId9" w:tgtFrame="_blank" w:history="1">
        <w:r w:rsidRPr="00067855">
          <w:rPr>
            <w:rStyle w:val="Hyperlink"/>
            <w:rFonts w:eastAsia="Times New Roman" w:cstheme="minorHAnsi"/>
            <w:b/>
            <w:bCs/>
            <w:color w:val="FF6E00"/>
            <w:u w:val="none"/>
            <w:lang w:val="en-PH"/>
          </w:rPr>
          <w:t>GFSC</w:t>
        </w:r>
      </w:hyperlink>
      <w:r w:rsidRPr="00067855">
        <w:rPr>
          <w:rFonts w:eastAsia="Times New Roman" w:cstheme="minorHAnsi"/>
          <w:lang w:val="en-PH"/>
        </w:rPr>
        <w:t>) initiated a consultation process in May 2017 to develop a regulatory framework for Distributed Ledger Technology (</w:t>
      </w:r>
      <w:r w:rsidRPr="00067855">
        <w:rPr>
          <w:rFonts w:eastAsia="Times New Roman" w:cstheme="minorHAnsi"/>
          <w:b/>
          <w:bCs/>
          <w:lang w:val="en-PH"/>
        </w:rPr>
        <w:t>DLT</w:t>
      </w:r>
      <w:r w:rsidRPr="00067855">
        <w:rPr>
          <w:rFonts w:eastAsia="Times New Roman" w:cstheme="minorHAnsi"/>
          <w:lang w:val="en-PH"/>
        </w:rPr>
        <w:t>) providers. The objective was to create a principles-based and adaptable framework that could address the aspects and risks associated with various business models and technologies in the virtual assets sector.</w:t>
      </w:r>
    </w:p>
    <w:p w14:paraId="4296B928" w14:textId="77777777" w:rsidR="00067855" w:rsidRPr="00067855" w:rsidRDefault="00067855" w:rsidP="00067855">
      <w:pPr>
        <w:spacing w:after="0" w:line="240" w:lineRule="auto"/>
        <w:ind w:left="360"/>
        <w:jc w:val="both"/>
        <w:rPr>
          <w:rFonts w:eastAsia="Times New Roman" w:cstheme="minorHAnsi"/>
          <w:lang w:val="en-PH"/>
        </w:rPr>
      </w:pPr>
    </w:p>
    <w:p w14:paraId="675B3890" w14:textId="216E8BBD" w:rsidR="00067855" w:rsidRDefault="00067855" w:rsidP="00067855">
      <w:pPr>
        <w:spacing w:after="0" w:line="240" w:lineRule="auto"/>
        <w:ind w:left="360"/>
        <w:jc w:val="both"/>
        <w:rPr>
          <w:rFonts w:eastAsia="Times New Roman" w:cstheme="minorHAnsi"/>
          <w:lang w:val="en-PH"/>
        </w:rPr>
      </w:pPr>
      <w:r w:rsidRPr="00067855">
        <w:rPr>
          <w:rFonts w:eastAsia="Times New Roman" w:cstheme="minorHAnsi"/>
          <w:lang w:val="en-PH"/>
        </w:rPr>
        <w:t>Following the consultation process, the GFSC finalised and implemented the DLT framework in January 2018. This framework established nine core principles and accompanying 10 guidance notes for DLT providers, with a focus on key areas such as corporate governance, risk management, consumer protection, and financial crime prevention. Furthermore, the Financial Services Act, 2019 (</w:t>
      </w:r>
      <w:hyperlink r:id="rId10" w:tgtFrame="_blank" w:history="1">
        <w:r w:rsidRPr="00067855">
          <w:rPr>
            <w:rStyle w:val="Hyperlink"/>
            <w:rFonts w:eastAsia="Times New Roman" w:cstheme="minorHAnsi"/>
            <w:b/>
            <w:bCs/>
            <w:color w:val="FF6E00"/>
            <w:u w:val="none"/>
            <w:lang w:val="en-PH"/>
          </w:rPr>
          <w:t>FSA</w:t>
        </w:r>
      </w:hyperlink>
      <w:r w:rsidRPr="00067855">
        <w:rPr>
          <w:rFonts w:eastAsia="Times New Roman" w:cstheme="minorHAnsi"/>
          <w:lang w:val="en-PH"/>
        </w:rPr>
        <w:t>) ensures that any activities involving virtual/digital assets are conducted in compliance with regulations set by the GFSC. The GFSC has continued to refine and develop its regulatory approach, introducing additional regulations for Initial Coin Offerings (</w:t>
      </w:r>
      <w:r w:rsidRPr="00067855">
        <w:rPr>
          <w:rFonts w:eastAsia="Times New Roman" w:cstheme="minorHAnsi"/>
          <w:b/>
          <w:bCs/>
          <w:lang w:val="en-PH"/>
        </w:rPr>
        <w:t>ICOs</w:t>
      </w:r>
      <w:r w:rsidRPr="00067855">
        <w:rPr>
          <w:rFonts w:eastAsia="Times New Roman" w:cstheme="minorHAnsi"/>
          <w:lang w:val="en-PH"/>
        </w:rPr>
        <w:t>), Security Token Offerings (</w:t>
      </w:r>
      <w:r w:rsidRPr="00067855">
        <w:rPr>
          <w:rFonts w:eastAsia="Times New Roman" w:cstheme="minorHAnsi"/>
          <w:b/>
          <w:bCs/>
          <w:lang w:val="en-PH"/>
        </w:rPr>
        <w:t>STOs</w:t>
      </w:r>
      <w:r w:rsidRPr="00067855">
        <w:rPr>
          <w:rFonts w:eastAsia="Times New Roman" w:cstheme="minorHAnsi"/>
          <w:lang w:val="en-PH"/>
        </w:rPr>
        <w:t>), and other token sales.</w:t>
      </w:r>
    </w:p>
    <w:p w14:paraId="2F6B31EB" w14:textId="77777777" w:rsidR="00967E59" w:rsidRPr="00067855" w:rsidRDefault="00967E59" w:rsidP="00067855">
      <w:pPr>
        <w:spacing w:after="0" w:line="240" w:lineRule="auto"/>
        <w:ind w:left="360"/>
        <w:jc w:val="both"/>
        <w:rPr>
          <w:rFonts w:eastAsia="Times New Roman" w:cstheme="minorHAnsi"/>
          <w:lang w:val="en-PH"/>
        </w:rPr>
      </w:pPr>
    </w:p>
    <w:p w14:paraId="3195E938" w14:textId="77777777" w:rsidR="00067855" w:rsidRDefault="00067855" w:rsidP="00067855">
      <w:pPr>
        <w:spacing w:after="0" w:line="240" w:lineRule="auto"/>
        <w:ind w:left="360"/>
        <w:jc w:val="both"/>
        <w:rPr>
          <w:rFonts w:eastAsia="Times New Roman" w:cstheme="minorHAnsi"/>
          <w:lang w:val="en-PH"/>
        </w:rPr>
      </w:pPr>
      <w:r w:rsidRPr="00067855">
        <w:rPr>
          <w:rFonts w:eastAsia="Times New Roman" w:cstheme="minorHAnsi"/>
          <w:lang w:val="en-PH"/>
        </w:rPr>
        <w:t>Moreover, Gibraltar adheres to international Anti-Money Laundering and Counter-Terrorist Financing (</w:t>
      </w:r>
      <w:r w:rsidRPr="00067855">
        <w:rPr>
          <w:rFonts w:eastAsia="Times New Roman" w:cstheme="minorHAnsi"/>
          <w:b/>
          <w:bCs/>
          <w:lang w:val="en-PH"/>
        </w:rPr>
        <w:t>AML/CFT</w:t>
      </w:r>
      <w:r w:rsidRPr="00067855">
        <w:rPr>
          <w:rFonts w:eastAsia="Times New Roman" w:cstheme="minorHAnsi"/>
          <w:lang w:val="en-PH"/>
        </w:rPr>
        <w:t>) regulations for virtual asset service providers (</w:t>
      </w:r>
      <w:r w:rsidRPr="00067855">
        <w:rPr>
          <w:rFonts w:eastAsia="Times New Roman" w:cstheme="minorHAnsi"/>
          <w:b/>
          <w:bCs/>
          <w:lang w:val="en-PH"/>
        </w:rPr>
        <w:t>VASPs</w:t>
      </w:r>
      <w:r w:rsidRPr="00067855">
        <w:rPr>
          <w:rFonts w:eastAsia="Times New Roman" w:cstheme="minorHAnsi"/>
          <w:lang w:val="en-PH"/>
        </w:rPr>
        <w:t>) in line with the recommendations set forth by the Financial Action Task Force (</w:t>
      </w:r>
      <w:hyperlink r:id="rId11" w:tgtFrame="_blank" w:history="1">
        <w:r w:rsidRPr="00067855">
          <w:rPr>
            <w:rStyle w:val="Hyperlink"/>
            <w:rFonts w:eastAsia="Times New Roman" w:cstheme="minorHAnsi"/>
            <w:b/>
            <w:bCs/>
            <w:color w:val="FF6E00"/>
            <w:u w:val="none"/>
            <w:lang w:val="en-PH"/>
          </w:rPr>
          <w:t>FATF</w:t>
        </w:r>
      </w:hyperlink>
      <w:r w:rsidRPr="00067855">
        <w:rPr>
          <w:rFonts w:eastAsia="Times New Roman" w:cstheme="minorHAnsi"/>
          <w:lang w:val="en-PH"/>
        </w:rPr>
        <w:t xml:space="preserve">). </w:t>
      </w:r>
    </w:p>
    <w:p w14:paraId="07BB9995" w14:textId="77777777" w:rsidR="00967E59" w:rsidRPr="00067855" w:rsidRDefault="00967E59" w:rsidP="00067855">
      <w:pPr>
        <w:spacing w:after="0" w:line="240" w:lineRule="auto"/>
        <w:ind w:left="360"/>
        <w:jc w:val="both"/>
        <w:rPr>
          <w:rFonts w:eastAsia="Times New Roman" w:cstheme="minorHAnsi"/>
          <w:lang w:val="en-PH"/>
        </w:rPr>
      </w:pPr>
    </w:p>
    <w:p w14:paraId="5F20DB50" w14:textId="77777777" w:rsidR="00067855" w:rsidRDefault="00067855" w:rsidP="003427DB">
      <w:pPr>
        <w:pStyle w:val="Heading2"/>
      </w:pPr>
      <w:bookmarkStart w:id="1" w:name="_Toc195261842"/>
      <w:r w:rsidRPr="00067855">
        <w:t xml:space="preserve">What is considered a </w:t>
      </w:r>
      <w:r w:rsidRPr="003427DB">
        <w:t>virtual</w:t>
      </w:r>
      <w:r w:rsidRPr="00067855">
        <w:t xml:space="preserve"> asset in Gibraltar?</w:t>
      </w:r>
      <w:bookmarkEnd w:id="1"/>
    </w:p>
    <w:p w14:paraId="63D15059" w14:textId="77777777" w:rsidR="00967E59" w:rsidRPr="00067855" w:rsidRDefault="00967E59" w:rsidP="00067855">
      <w:pPr>
        <w:spacing w:after="0" w:line="240" w:lineRule="auto"/>
        <w:ind w:left="360"/>
        <w:jc w:val="both"/>
        <w:rPr>
          <w:rFonts w:eastAsia="Times New Roman" w:cstheme="minorHAnsi"/>
          <w:lang w:val="en-PH"/>
        </w:rPr>
      </w:pPr>
    </w:p>
    <w:p w14:paraId="0A8A8154" w14:textId="77777777" w:rsidR="00067855" w:rsidRDefault="00067855" w:rsidP="00067855">
      <w:pPr>
        <w:spacing w:after="0" w:line="240" w:lineRule="auto"/>
        <w:ind w:left="360"/>
        <w:jc w:val="both"/>
        <w:rPr>
          <w:rFonts w:eastAsia="Times New Roman" w:cstheme="minorHAnsi"/>
          <w:lang w:val="en-PH"/>
        </w:rPr>
      </w:pPr>
      <w:r w:rsidRPr="00067855">
        <w:rPr>
          <w:rFonts w:eastAsia="Times New Roman" w:cstheme="minorHAnsi"/>
          <w:lang w:val="en-PH"/>
        </w:rPr>
        <w:t xml:space="preserve">According to the Proceeds of Crime Act 2015 </w:t>
      </w:r>
      <w:hyperlink r:id="rId12" w:tgtFrame="_blank" w:history="1">
        <w:r w:rsidRPr="00067855">
          <w:rPr>
            <w:rStyle w:val="Hyperlink"/>
            <w:rFonts w:eastAsia="Times New Roman" w:cstheme="minorHAnsi"/>
            <w:color w:val="FF6E00"/>
            <w:u w:val="none"/>
            <w:lang w:val="en-PH"/>
          </w:rPr>
          <w:t>(Transfer of Virtual Assets) Regulations 2021</w:t>
        </w:r>
      </w:hyperlink>
      <w:r w:rsidRPr="00067855">
        <w:rPr>
          <w:rFonts w:eastAsia="Times New Roman" w:cstheme="minorHAnsi"/>
          <w:lang w:val="en-PH"/>
        </w:rPr>
        <w:t xml:space="preserve">, a virtual asset is </w:t>
      </w:r>
      <w:r w:rsidRPr="00967E59">
        <w:rPr>
          <w:rFonts w:eastAsia="Times New Roman" w:cstheme="minorHAnsi"/>
          <w:i/>
          <w:iCs/>
          <w:lang w:val="en-PH"/>
        </w:rPr>
        <w:t>"any digital representation of value that can be digitally traded or transferred and can be used for payment or investment purposes, but does not include digital representations of fiat currencies and securities."</w:t>
      </w:r>
    </w:p>
    <w:p w14:paraId="71DBDE97" w14:textId="77777777" w:rsidR="00967E59" w:rsidRPr="00067855" w:rsidRDefault="00967E59" w:rsidP="00067855">
      <w:pPr>
        <w:spacing w:after="0" w:line="240" w:lineRule="auto"/>
        <w:ind w:left="360"/>
        <w:jc w:val="both"/>
        <w:rPr>
          <w:rFonts w:eastAsia="Times New Roman" w:cstheme="minorHAnsi"/>
          <w:lang w:val="en-PH"/>
        </w:rPr>
      </w:pPr>
    </w:p>
    <w:p w14:paraId="7E903141" w14:textId="77777777" w:rsidR="00067855" w:rsidRDefault="00067855" w:rsidP="00067855">
      <w:pPr>
        <w:spacing w:after="0" w:line="240" w:lineRule="auto"/>
        <w:ind w:left="360"/>
        <w:jc w:val="both"/>
        <w:rPr>
          <w:rFonts w:eastAsia="Times New Roman" w:cstheme="minorHAnsi"/>
          <w:lang w:val="en-PH"/>
        </w:rPr>
      </w:pPr>
      <w:r w:rsidRPr="00067855">
        <w:rPr>
          <w:rFonts w:eastAsia="Times New Roman" w:cstheme="minorHAnsi"/>
          <w:lang w:val="en-PH"/>
        </w:rPr>
        <w:t>In Gibraltar, the virtual assets can be bought, sold, held, or transferred using DLT. Under the DLT regulation system, VASPs must have a local presence in the jurisdiction, be licensed and to be compliant with any anti-money laundering AML/CTF regulations.</w:t>
      </w:r>
    </w:p>
    <w:p w14:paraId="16F00FEE" w14:textId="77777777" w:rsidR="00967E59" w:rsidRPr="00067855" w:rsidRDefault="00967E59" w:rsidP="00067855">
      <w:pPr>
        <w:spacing w:after="0" w:line="240" w:lineRule="auto"/>
        <w:ind w:left="360"/>
        <w:jc w:val="both"/>
        <w:rPr>
          <w:rFonts w:eastAsia="Times New Roman" w:cstheme="minorHAnsi"/>
          <w:lang w:val="en-PH"/>
        </w:rPr>
      </w:pPr>
    </w:p>
    <w:p w14:paraId="7CBE7E39" w14:textId="77777777" w:rsidR="00067855" w:rsidRDefault="00067855" w:rsidP="003427DB">
      <w:pPr>
        <w:pStyle w:val="Heading2"/>
      </w:pPr>
      <w:bookmarkStart w:id="2" w:name="_Toc195261843"/>
      <w:r w:rsidRPr="00067855">
        <w:t>What are the relevant laws and regulations?</w:t>
      </w:r>
      <w:bookmarkEnd w:id="2"/>
    </w:p>
    <w:p w14:paraId="18EB6FAE" w14:textId="77777777" w:rsidR="00967E59" w:rsidRPr="00067855" w:rsidRDefault="00967E59" w:rsidP="00067855">
      <w:pPr>
        <w:spacing w:after="0" w:line="240" w:lineRule="auto"/>
        <w:ind w:left="360"/>
        <w:jc w:val="both"/>
        <w:rPr>
          <w:rFonts w:eastAsia="Times New Roman" w:cstheme="minorHAnsi"/>
          <w:lang w:val="en-PH"/>
        </w:rPr>
      </w:pPr>
    </w:p>
    <w:p w14:paraId="32FD5B67" w14:textId="77777777" w:rsidR="00067855" w:rsidRDefault="00067855" w:rsidP="00067855">
      <w:pPr>
        <w:spacing w:after="0" w:line="240" w:lineRule="auto"/>
        <w:ind w:left="360"/>
        <w:jc w:val="both"/>
        <w:rPr>
          <w:rFonts w:eastAsia="Times New Roman" w:cstheme="minorHAnsi"/>
          <w:lang w:val="en-PH"/>
        </w:rPr>
      </w:pPr>
      <w:r w:rsidRPr="00067855">
        <w:rPr>
          <w:rFonts w:eastAsia="Times New Roman" w:cstheme="minorHAnsi"/>
          <w:lang w:val="en-PH"/>
        </w:rPr>
        <w:t>Gibraltar has established a comprehensive regulatory framework for virtual assets, which includes several relevant laws, regulations, and guidance documents. Key components of this framework are:</w:t>
      </w:r>
    </w:p>
    <w:p w14:paraId="6E820EAE" w14:textId="77777777" w:rsidR="00967E59" w:rsidRPr="00067855" w:rsidRDefault="00967E59" w:rsidP="00067855">
      <w:pPr>
        <w:spacing w:after="0" w:line="240" w:lineRule="auto"/>
        <w:ind w:left="360"/>
        <w:jc w:val="both"/>
        <w:rPr>
          <w:rFonts w:eastAsia="Times New Roman" w:cstheme="minorHAnsi"/>
          <w:lang w:val="en-PH"/>
        </w:rPr>
      </w:pPr>
    </w:p>
    <w:p w14:paraId="3CA83A49" w14:textId="77777777" w:rsidR="00067855" w:rsidRDefault="00067855" w:rsidP="00067855">
      <w:pPr>
        <w:pStyle w:val="ListParagraph"/>
        <w:numPr>
          <w:ilvl w:val="0"/>
          <w:numId w:val="38"/>
        </w:numPr>
        <w:spacing w:after="0" w:line="240" w:lineRule="auto"/>
        <w:jc w:val="both"/>
        <w:rPr>
          <w:rFonts w:eastAsia="Times New Roman" w:cstheme="minorHAnsi"/>
          <w:lang w:val="en-PH"/>
        </w:rPr>
      </w:pPr>
      <w:hyperlink r:id="rId13" w:tgtFrame="_blank" w:history="1">
        <w:r w:rsidRPr="00067855">
          <w:rPr>
            <w:rStyle w:val="Hyperlink"/>
            <w:rFonts w:eastAsia="Times New Roman" w:cstheme="minorHAnsi"/>
            <w:color w:val="FF6E00"/>
            <w:lang w:val="en-PH"/>
          </w:rPr>
          <w:t>The Proceeds of Crime Act 2015 (Transfer of Virtual Assets) Regulations 2021</w:t>
        </w:r>
      </w:hyperlink>
      <w:r w:rsidRPr="00067855">
        <w:rPr>
          <w:rFonts w:eastAsia="Times New Roman" w:cstheme="minorHAnsi"/>
          <w:lang w:val="en-PH"/>
        </w:rPr>
        <w:t>: known as the travel rule regulations, require virtual asset service providers to gather specific customer information for transactions equal to or exceeding one thousand euros.</w:t>
      </w:r>
      <w:r w:rsidRPr="00067855">
        <w:rPr>
          <w:rFonts w:eastAsia="Times New Roman" w:cstheme="minorHAnsi"/>
          <w:lang w:val="en-PH"/>
        </w:rPr>
        <w:br/>
        <w:t>Additionally, the Proceeds of Crime Act 2015 (Amendment) Regulations 2021 also introduced definitions of virtual asset that has explicitly excluded ‘digital representations of fiat currencies’ and explains registration requirements for businesses involved in tokenised digital asset sales or DLT-based value exchanges. Failure to register or comply may lead to enforcement actions by the GFSC, including registration suspension or cancellation, subject to appeal in the Supreme Court within 28 days of the decision notice.</w:t>
      </w:r>
    </w:p>
    <w:p w14:paraId="003D31B4" w14:textId="77777777" w:rsidR="00967E59" w:rsidRPr="00967E59" w:rsidRDefault="00967E59" w:rsidP="00967E59">
      <w:pPr>
        <w:spacing w:after="0" w:line="240" w:lineRule="auto"/>
        <w:jc w:val="both"/>
        <w:rPr>
          <w:rFonts w:eastAsia="Times New Roman" w:cstheme="minorHAnsi"/>
          <w:lang w:val="en-PH"/>
        </w:rPr>
      </w:pPr>
    </w:p>
    <w:p w14:paraId="7DCFA70E" w14:textId="0D5B5BA8" w:rsidR="00967E59" w:rsidRDefault="00067855" w:rsidP="00967E59">
      <w:pPr>
        <w:pStyle w:val="ListParagraph"/>
        <w:numPr>
          <w:ilvl w:val="0"/>
          <w:numId w:val="38"/>
        </w:numPr>
        <w:spacing w:after="0" w:line="240" w:lineRule="auto"/>
        <w:jc w:val="both"/>
        <w:rPr>
          <w:rFonts w:eastAsia="Times New Roman" w:cstheme="minorHAnsi"/>
          <w:lang w:val="en-PH"/>
        </w:rPr>
      </w:pPr>
      <w:r w:rsidRPr="00067855">
        <w:rPr>
          <w:rFonts w:eastAsia="Times New Roman" w:cstheme="minorHAnsi"/>
          <w:u w:val="single"/>
          <w:lang w:val="en-PH"/>
        </w:rPr>
        <w:t>Financial Services Act, 2019</w:t>
      </w:r>
      <w:r w:rsidRPr="00067855">
        <w:rPr>
          <w:rFonts w:eastAsia="Times New Roman" w:cstheme="minorHAnsi"/>
          <w:lang w:val="en-PH"/>
        </w:rPr>
        <w:t xml:space="preserve">: The FSA provides the GFSC with the necessary powers to regulate and supervise financial activities, including those related to virtual assets. It ensures that any </w:t>
      </w:r>
      <w:r w:rsidRPr="00067855">
        <w:rPr>
          <w:rFonts w:eastAsia="Times New Roman" w:cstheme="minorHAnsi"/>
          <w:lang w:val="en-PH"/>
        </w:rPr>
        <w:lastRenderedPageBreak/>
        <w:t>activities involving virtual assets are conducted in compliance with regulations set by the GFSC.</w:t>
      </w:r>
    </w:p>
    <w:p w14:paraId="6A70E6E1" w14:textId="77777777" w:rsidR="00967E59" w:rsidRPr="00967E59" w:rsidRDefault="00967E59" w:rsidP="00967E59">
      <w:pPr>
        <w:spacing w:after="0" w:line="240" w:lineRule="auto"/>
        <w:jc w:val="both"/>
        <w:rPr>
          <w:rFonts w:eastAsia="Times New Roman" w:cstheme="minorHAnsi"/>
          <w:lang w:val="en-PH"/>
        </w:rPr>
      </w:pPr>
    </w:p>
    <w:p w14:paraId="14631E6F" w14:textId="77777777" w:rsidR="00067855" w:rsidRDefault="00067855" w:rsidP="00067855">
      <w:pPr>
        <w:pStyle w:val="ListParagraph"/>
        <w:numPr>
          <w:ilvl w:val="0"/>
          <w:numId w:val="38"/>
        </w:numPr>
        <w:spacing w:after="0" w:line="240" w:lineRule="auto"/>
        <w:jc w:val="both"/>
        <w:rPr>
          <w:rFonts w:eastAsia="Times New Roman" w:cstheme="minorHAnsi"/>
          <w:lang w:val="en-PH"/>
        </w:rPr>
      </w:pPr>
      <w:hyperlink r:id="rId14" w:tgtFrame="_blank" w:history="1">
        <w:r w:rsidRPr="00067855">
          <w:rPr>
            <w:rStyle w:val="Hyperlink"/>
            <w:rFonts w:eastAsia="Times New Roman" w:cstheme="minorHAnsi"/>
            <w:color w:val="FF6E00"/>
            <w:lang w:val="en-PH"/>
          </w:rPr>
          <w:t>DLT Framework</w:t>
        </w:r>
      </w:hyperlink>
      <w:r w:rsidRPr="00067855">
        <w:rPr>
          <w:rFonts w:eastAsia="Times New Roman" w:cstheme="minorHAnsi"/>
          <w:lang w:val="en-PH"/>
        </w:rPr>
        <w:t>: Introduced by the GFSC in January 2018, the DLT framework is a purpose-built, principles-based, and flexible regulatory framework for DLT providers. It consists of nine core principles and accompanying guidance notes that focus on areas such as corporate governance, risk management, consumer protection, and financial crime prevention. The principles are:</w:t>
      </w:r>
    </w:p>
    <w:p w14:paraId="7CF6A4C9" w14:textId="77777777" w:rsidR="00967E59" w:rsidRPr="00967E59" w:rsidRDefault="00967E59" w:rsidP="00967E59">
      <w:pPr>
        <w:spacing w:after="0" w:line="240" w:lineRule="auto"/>
        <w:jc w:val="both"/>
        <w:rPr>
          <w:rFonts w:eastAsia="Times New Roman" w:cstheme="minorHAnsi"/>
          <w:lang w:val="en-PH"/>
        </w:rPr>
      </w:pPr>
    </w:p>
    <w:p w14:paraId="399333C9" w14:textId="77777777" w:rsidR="00067855" w:rsidRDefault="00067855" w:rsidP="00067855">
      <w:pPr>
        <w:pStyle w:val="ListParagraph"/>
        <w:numPr>
          <w:ilvl w:val="1"/>
          <w:numId w:val="38"/>
        </w:numPr>
        <w:spacing w:after="0" w:line="240" w:lineRule="auto"/>
        <w:jc w:val="both"/>
        <w:rPr>
          <w:rFonts w:eastAsia="Times New Roman" w:cstheme="minorHAnsi"/>
          <w:lang w:val="en-PH"/>
        </w:rPr>
      </w:pPr>
      <w:r w:rsidRPr="00067855">
        <w:rPr>
          <w:rFonts w:eastAsia="Times New Roman" w:cstheme="minorHAnsi"/>
          <w:lang w:val="en-PH"/>
        </w:rPr>
        <w:t>Honesty and integrity: DLT providers must conduct their business with honesty and integrity.</w:t>
      </w:r>
    </w:p>
    <w:p w14:paraId="716F3E1A" w14:textId="77777777" w:rsidR="007503FE" w:rsidRPr="00067855" w:rsidRDefault="007503FE" w:rsidP="007503FE">
      <w:pPr>
        <w:pStyle w:val="ListParagraph"/>
        <w:spacing w:after="0" w:line="240" w:lineRule="auto"/>
        <w:ind w:left="1800"/>
        <w:jc w:val="both"/>
        <w:rPr>
          <w:rFonts w:eastAsia="Times New Roman" w:cstheme="minorHAnsi"/>
          <w:lang w:val="en-PH"/>
        </w:rPr>
      </w:pPr>
    </w:p>
    <w:p w14:paraId="5F3666FB" w14:textId="77777777" w:rsidR="00067855" w:rsidRDefault="00067855" w:rsidP="00067855">
      <w:pPr>
        <w:pStyle w:val="ListParagraph"/>
        <w:numPr>
          <w:ilvl w:val="1"/>
          <w:numId w:val="38"/>
        </w:numPr>
        <w:spacing w:after="0" w:line="240" w:lineRule="auto"/>
        <w:jc w:val="both"/>
        <w:rPr>
          <w:rFonts w:eastAsia="Times New Roman" w:cstheme="minorHAnsi"/>
          <w:lang w:val="en-PH"/>
        </w:rPr>
      </w:pPr>
      <w:r w:rsidRPr="00067855">
        <w:rPr>
          <w:rFonts w:eastAsia="Times New Roman" w:cstheme="minorHAnsi"/>
          <w:lang w:val="en-PH"/>
        </w:rPr>
        <w:t>Customer care: Firms must pay due regard to the interests and needs of each and all its customers and must communicate with its customers in a way that is fair, clear, and not misleading.</w:t>
      </w:r>
    </w:p>
    <w:p w14:paraId="62F1ED3E" w14:textId="77777777" w:rsidR="007503FE" w:rsidRPr="007503FE" w:rsidRDefault="007503FE" w:rsidP="007503FE">
      <w:pPr>
        <w:spacing w:after="0" w:line="240" w:lineRule="auto"/>
        <w:jc w:val="both"/>
        <w:rPr>
          <w:rFonts w:eastAsia="Times New Roman" w:cstheme="minorHAnsi"/>
          <w:lang w:val="en-PH"/>
        </w:rPr>
      </w:pPr>
    </w:p>
    <w:p w14:paraId="45199788" w14:textId="77777777" w:rsidR="00067855" w:rsidRDefault="00067855" w:rsidP="00067855">
      <w:pPr>
        <w:pStyle w:val="ListParagraph"/>
        <w:numPr>
          <w:ilvl w:val="1"/>
          <w:numId w:val="38"/>
        </w:numPr>
        <w:spacing w:after="0" w:line="240" w:lineRule="auto"/>
        <w:jc w:val="both"/>
        <w:rPr>
          <w:rFonts w:eastAsia="Times New Roman" w:cstheme="minorHAnsi"/>
          <w:lang w:val="en-PH"/>
        </w:rPr>
      </w:pPr>
      <w:r w:rsidRPr="00067855">
        <w:rPr>
          <w:rFonts w:eastAsia="Times New Roman" w:cstheme="minorHAnsi"/>
          <w:lang w:val="en-PH"/>
        </w:rPr>
        <w:t>Resources: A DLT provider must maintain adequate financial and non-financial resources.</w:t>
      </w:r>
    </w:p>
    <w:p w14:paraId="5A4C7AAF" w14:textId="77777777" w:rsidR="007503FE" w:rsidRPr="007503FE" w:rsidRDefault="007503FE" w:rsidP="007503FE">
      <w:pPr>
        <w:spacing w:after="0" w:line="240" w:lineRule="auto"/>
        <w:jc w:val="both"/>
        <w:rPr>
          <w:rFonts w:eastAsia="Times New Roman" w:cstheme="minorHAnsi"/>
          <w:lang w:val="en-PH"/>
        </w:rPr>
      </w:pPr>
    </w:p>
    <w:p w14:paraId="01D708EA" w14:textId="77777777" w:rsidR="00067855" w:rsidRDefault="00067855" w:rsidP="00067855">
      <w:pPr>
        <w:pStyle w:val="ListParagraph"/>
        <w:numPr>
          <w:ilvl w:val="1"/>
          <w:numId w:val="38"/>
        </w:numPr>
        <w:spacing w:after="0" w:line="240" w:lineRule="auto"/>
        <w:jc w:val="both"/>
        <w:rPr>
          <w:rFonts w:eastAsia="Times New Roman" w:cstheme="minorHAnsi"/>
          <w:lang w:val="en-PH"/>
        </w:rPr>
      </w:pPr>
      <w:r w:rsidRPr="00067855">
        <w:rPr>
          <w:rFonts w:eastAsia="Times New Roman" w:cstheme="minorHAnsi"/>
          <w:lang w:val="en-PH"/>
        </w:rPr>
        <w:t>Risk management: Firms must manage and control their business effectively and take reasonable care to identify, manage, and mitigate risks.</w:t>
      </w:r>
    </w:p>
    <w:p w14:paraId="31C90178" w14:textId="77777777" w:rsidR="007503FE" w:rsidRPr="007503FE" w:rsidRDefault="007503FE" w:rsidP="007503FE">
      <w:pPr>
        <w:spacing w:after="0" w:line="240" w:lineRule="auto"/>
        <w:jc w:val="both"/>
        <w:rPr>
          <w:rFonts w:eastAsia="Times New Roman" w:cstheme="minorHAnsi"/>
          <w:lang w:val="en-PH"/>
        </w:rPr>
      </w:pPr>
    </w:p>
    <w:p w14:paraId="317D9794" w14:textId="77777777" w:rsidR="00067855" w:rsidRDefault="00067855" w:rsidP="00067855">
      <w:pPr>
        <w:pStyle w:val="ListParagraph"/>
        <w:numPr>
          <w:ilvl w:val="1"/>
          <w:numId w:val="38"/>
        </w:numPr>
        <w:spacing w:after="0" w:line="240" w:lineRule="auto"/>
        <w:jc w:val="both"/>
        <w:rPr>
          <w:rFonts w:eastAsia="Times New Roman" w:cstheme="minorHAnsi"/>
          <w:lang w:val="en-PH"/>
        </w:rPr>
      </w:pPr>
      <w:r w:rsidRPr="00067855">
        <w:rPr>
          <w:rFonts w:eastAsia="Times New Roman" w:cstheme="minorHAnsi"/>
          <w:lang w:val="en-PH"/>
        </w:rPr>
        <w:t>Protection of client assets: A DLT provider must arrange adequate protection for client assets.</w:t>
      </w:r>
    </w:p>
    <w:p w14:paraId="66A986DE" w14:textId="77777777" w:rsidR="007503FE" w:rsidRPr="007503FE" w:rsidRDefault="007503FE" w:rsidP="007503FE">
      <w:pPr>
        <w:spacing w:after="0" w:line="240" w:lineRule="auto"/>
        <w:jc w:val="both"/>
        <w:rPr>
          <w:rFonts w:eastAsia="Times New Roman" w:cstheme="minorHAnsi"/>
          <w:lang w:val="en-PH"/>
        </w:rPr>
      </w:pPr>
    </w:p>
    <w:p w14:paraId="3A2CE6CE" w14:textId="77777777" w:rsidR="00067855" w:rsidRDefault="00067855" w:rsidP="00067855">
      <w:pPr>
        <w:pStyle w:val="ListParagraph"/>
        <w:numPr>
          <w:ilvl w:val="1"/>
          <w:numId w:val="38"/>
        </w:numPr>
        <w:spacing w:after="0" w:line="240" w:lineRule="auto"/>
        <w:jc w:val="both"/>
        <w:rPr>
          <w:rFonts w:eastAsia="Times New Roman" w:cstheme="minorHAnsi"/>
          <w:lang w:val="en-PH"/>
        </w:rPr>
      </w:pPr>
      <w:r w:rsidRPr="00067855">
        <w:rPr>
          <w:rFonts w:eastAsia="Times New Roman" w:cstheme="minorHAnsi"/>
          <w:lang w:val="en-PH"/>
        </w:rPr>
        <w:t>Corporate governance: Firms must have effective corporate governance arrangements.</w:t>
      </w:r>
    </w:p>
    <w:p w14:paraId="61970483" w14:textId="77777777" w:rsidR="007503FE" w:rsidRPr="007503FE" w:rsidRDefault="007503FE" w:rsidP="007503FE">
      <w:pPr>
        <w:spacing w:after="0" w:line="240" w:lineRule="auto"/>
        <w:jc w:val="both"/>
        <w:rPr>
          <w:rFonts w:eastAsia="Times New Roman" w:cstheme="minorHAnsi"/>
          <w:lang w:val="en-PH"/>
        </w:rPr>
      </w:pPr>
    </w:p>
    <w:p w14:paraId="679F35BD" w14:textId="77777777" w:rsidR="00067855" w:rsidRDefault="00067855" w:rsidP="00067855">
      <w:pPr>
        <w:pStyle w:val="ListParagraph"/>
        <w:numPr>
          <w:ilvl w:val="1"/>
          <w:numId w:val="38"/>
        </w:numPr>
        <w:spacing w:after="0" w:line="240" w:lineRule="auto"/>
        <w:jc w:val="both"/>
        <w:rPr>
          <w:rFonts w:eastAsia="Times New Roman" w:cstheme="minorHAnsi"/>
          <w:lang w:val="en-PH"/>
        </w:rPr>
      </w:pPr>
      <w:r w:rsidRPr="00067855">
        <w:rPr>
          <w:rFonts w:eastAsia="Times New Roman" w:cstheme="minorHAnsi"/>
          <w:lang w:val="en-PH"/>
        </w:rPr>
        <w:t>Cybersecurity: DLT providers must have systems and security access protocols that are maintained to appropriate high standards.</w:t>
      </w:r>
    </w:p>
    <w:p w14:paraId="6A2B6183" w14:textId="77777777" w:rsidR="007503FE" w:rsidRPr="007503FE" w:rsidRDefault="007503FE" w:rsidP="007503FE">
      <w:pPr>
        <w:spacing w:after="0" w:line="240" w:lineRule="auto"/>
        <w:jc w:val="both"/>
        <w:rPr>
          <w:rFonts w:eastAsia="Times New Roman" w:cstheme="minorHAnsi"/>
          <w:lang w:val="en-PH"/>
        </w:rPr>
      </w:pPr>
    </w:p>
    <w:p w14:paraId="61DD89BF" w14:textId="77777777" w:rsidR="00067855" w:rsidRDefault="00067855" w:rsidP="00067855">
      <w:pPr>
        <w:pStyle w:val="ListParagraph"/>
        <w:numPr>
          <w:ilvl w:val="1"/>
          <w:numId w:val="38"/>
        </w:numPr>
        <w:spacing w:after="0" w:line="240" w:lineRule="auto"/>
        <w:jc w:val="both"/>
        <w:rPr>
          <w:rFonts w:eastAsia="Times New Roman" w:cstheme="minorHAnsi"/>
          <w:lang w:val="en-PH"/>
        </w:rPr>
      </w:pPr>
      <w:r w:rsidRPr="00067855">
        <w:rPr>
          <w:rFonts w:eastAsia="Times New Roman" w:cstheme="minorHAnsi"/>
          <w:lang w:val="en-PH"/>
        </w:rPr>
        <w:t>Financial crime: Firms must have systems in place to prevent, detect, and disclose financial crime risks like money laundering and terrorist financing.</w:t>
      </w:r>
    </w:p>
    <w:p w14:paraId="177CC522" w14:textId="77777777" w:rsidR="007503FE" w:rsidRPr="007503FE" w:rsidRDefault="007503FE" w:rsidP="007503FE">
      <w:pPr>
        <w:spacing w:after="0" w:line="240" w:lineRule="auto"/>
        <w:jc w:val="both"/>
        <w:rPr>
          <w:rFonts w:eastAsia="Times New Roman" w:cstheme="minorHAnsi"/>
          <w:lang w:val="en-PH"/>
        </w:rPr>
      </w:pPr>
    </w:p>
    <w:p w14:paraId="0AFA486B" w14:textId="77777777" w:rsidR="00067855" w:rsidRDefault="00067855" w:rsidP="00067855">
      <w:pPr>
        <w:pStyle w:val="ListParagraph"/>
        <w:numPr>
          <w:ilvl w:val="1"/>
          <w:numId w:val="38"/>
        </w:numPr>
        <w:spacing w:after="0" w:line="240" w:lineRule="auto"/>
        <w:jc w:val="both"/>
        <w:rPr>
          <w:rFonts w:eastAsia="Times New Roman" w:cstheme="minorHAnsi"/>
          <w:lang w:val="en-PH"/>
        </w:rPr>
      </w:pPr>
      <w:r w:rsidRPr="00067855">
        <w:rPr>
          <w:rFonts w:eastAsia="Times New Roman" w:cstheme="minorHAnsi"/>
          <w:lang w:val="en-PH"/>
        </w:rPr>
        <w:t>Resilience: DLT providers must have contingency plans in place to ensure they can continue their operations and meet their regulatory obligations during disruptions.</w:t>
      </w:r>
    </w:p>
    <w:p w14:paraId="25F726BB" w14:textId="77777777" w:rsidR="00522398" w:rsidRPr="00067855" w:rsidRDefault="00522398" w:rsidP="00522398">
      <w:pPr>
        <w:pStyle w:val="ListParagraph"/>
        <w:spacing w:after="0" w:line="240" w:lineRule="auto"/>
        <w:ind w:left="1800"/>
        <w:jc w:val="both"/>
        <w:rPr>
          <w:rFonts w:eastAsia="Times New Roman" w:cstheme="minorHAnsi"/>
          <w:lang w:val="en-PH"/>
        </w:rPr>
      </w:pPr>
    </w:p>
    <w:p w14:paraId="3EB8F727" w14:textId="77777777" w:rsidR="00067855" w:rsidRDefault="00067855" w:rsidP="00067855">
      <w:pPr>
        <w:pStyle w:val="ListParagraph"/>
        <w:numPr>
          <w:ilvl w:val="0"/>
          <w:numId w:val="38"/>
        </w:numPr>
        <w:spacing w:after="0" w:line="240" w:lineRule="auto"/>
        <w:jc w:val="both"/>
        <w:rPr>
          <w:rFonts w:eastAsia="Times New Roman" w:cstheme="minorHAnsi"/>
          <w:lang w:val="en-PH"/>
        </w:rPr>
      </w:pPr>
      <w:hyperlink r:id="rId15" w:tgtFrame="_blank" w:history="1">
        <w:r w:rsidRPr="00067855">
          <w:rPr>
            <w:rStyle w:val="Hyperlink"/>
            <w:rFonts w:eastAsia="Times New Roman" w:cstheme="minorHAnsi"/>
            <w:color w:val="FF6E00"/>
            <w:lang w:val="en-PH"/>
          </w:rPr>
          <w:t>Guidance Notes</w:t>
        </w:r>
      </w:hyperlink>
      <w:r w:rsidRPr="00067855">
        <w:rPr>
          <w:rFonts w:eastAsia="Times New Roman" w:cstheme="minorHAnsi"/>
          <w:lang w:val="en-PH"/>
        </w:rPr>
        <w:t>: The GFSC has issued 10 guidance notes to supplement the DLT framework. These notes provide clarification on various aspects, including regulatory principles, risk management, protection of client assets, financial crime risks, technology and cybersecurity risks, resilience and contingency planning, governance arrangements, fitness and propriety of key individuals, outsourcing arrangements, and conflicts of interest.</w:t>
      </w:r>
    </w:p>
    <w:p w14:paraId="28B727EF" w14:textId="77777777" w:rsidR="00522398" w:rsidRPr="00067855" w:rsidRDefault="00522398" w:rsidP="00522398">
      <w:pPr>
        <w:pStyle w:val="ListParagraph"/>
        <w:spacing w:after="0" w:line="240" w:lineRule="auto"/>
        <w:ind w:left="1080"/>
        <w:jc w:val="both"/>
        <w:rPr>
          <w:rFonts w:eastAsia="Times New Roman" w:cstheme="minorHAnsi"/>
          <w:lang w:val="en-PH"/>
        </w:rPr>
      </w:pPr>
    </w:p>
    <w:p w14:paraId="58EE7B8B" w14:textId="77777777" w:rsidR="00067855" w:rsidRDefault="00067855" w:rsidP="00067855">
      <w:pPr>
        <w:pStyle w:val="ListParagraph"/>
        <w:numPr>
          <w:ilvl w:val="0"/>
          <w:numId w:val="38"/>
        </w:numPr>
        <w:spacing w:after="0" w:line="240" w:lineRule="auto"/>
        <w:jc w:val="both"/>
        <w:rPr>
          <w:rFonts w:eastAsia="Times New Roman" w:cstheme="minorHAnsi"/>
          <w:lang w:val="en-PH"/>
        </w:rPr>
      </w:pPr>
      <w:hyperlink r:id="rId16" w:tgtFrame="_blank" w:history="1">
        <w:r w:rsidRPr="00067855">
          <w:rPr>
            <w:rStyle w:val="Hyperlink"/>
            <w:rFonts w:eastAsia="Times New Roman" w:cstheme="minorHAnsi"/>
            <w:color w:val="FF6E00"/>
            <w:lang w:val="en-PH"/>
          </w:rPr>
          <w:t>The Financial Services (Distributed Ledger Technology Providers) Regulations 2020</w:t>
        </w:r>
      </w:hyperlink>
      <w:r w:rsidRPr="00067855">
        <w:rPr>
          <w:rFonts w:eastAsia="Times New Roman" w:cstheme="minorHAnsi"/>
          <w:lang w:val="en-PH"/>
        </w:rPr>
        <w:t xml:space="preserve">: is a set of rules that apply in Gibraltar to people who want to create and sell virtual assets. These people first </w:t>
      </w:r>
      <w:proofErr w:type="gramStart"/>
      <w:r w:rsidRPr="00067855">
        <w:rPr>
          <w:rFonts w:eastAsia="Times New Roman" w:cstheme="minorHAnsi"/>
          <w:lang w:val="en-PH"/>
        </w:rPr>
        <w:t>have to</w:t>
      </w:r>
      <w:proofErr w:type="gramEnd"/>
      <w:r w:rsidRPr="00067855">
        <w:rPr>
          <w:rFonts w:eastAsia="Times New Roman" w:cstheme="minorHAnsi"/>
          <w:lang w:val="en-PH"/>
        </w:rPr>
        <w:t xml:space="preserve"> get permission from the GFSA by </w:t>
      </w:r>
      <w:proofErr w:type="gramStart"/>
      <w:r w:rsidRPr="00067855">
        <w:rPr>
          <w:rFonts w:eastAsia="Times New Roman" w:cstheme="minorHAnsi"/>
          <w:lang w:val="en-PH"/>
        </w:rPr>
        <w:t>submitting an application</w:t>
      </w:r>
      <w:proofErr w:type="gramEnd"/>
      <w:r w:rsidRPr="00067855">
        <w:rPr>
          <w:rFonts w:eastAsia="Times New Roman" w:cstheme="minorHAnsi"/>
          <w:lang w:val="en-PH"/>
        </w:rPr>
        <w:t xml:space="preserve"> and relevant documents. These regulations cover the conditions for getting permission, the ongoing obligations that must be met, and the regulatory principles that must be followed. It's to note </w:t>
      </w:r>
      <w:r w:rsidRPr="00067855">
        <w:rPr>
          <w:rFonts w:eastAsia="Times New Roman" w:cstheme="minorHAnsi"/>
          <w:lang w:val="en-PH"/>
        </w:rPr>
        <w:lastRenderedPageBreak/>
        <w:t>that these regulations don't stop people from creating virtual assets, but strict rules must be followed when doing so.</w:t>
      </w:r>
    </w:p>
    <w:p w14:paraId="7A1C554B" w14:textId="77777777" w:rsidR="00522398" w:rsidRPr="00522398" w:rsidRDefault="00522398" w:rsidP="00522398">
      <w:pPr>
        <w:spacing w:after="0" w:line="240" w:lineRule="auto"/>
        <w:jc w:val="both"/>
        <w:rPr>
          <w:rFonts w:eastAsia="Times New Roman" w:cstheme="minorHAnsi"/>
          <w:lang w:val="en-PH"/>
        </w:rPr>
      </w:pPr>
    </w:p>
    <w:p w14:paraId="50065E4F" w14:textId="71E36EA7" w:rsidR="00067855" w:rsidRDefault="00067855" w:rsidP="00067855">
      <w:pPr>
        <w:pStyle w:val="ListParagraph"/>
        <w:numPr>
          <w:ilvl w:val="0"/>
          <w:numId w:val="38"/>
        </w:numPr>
        <w:spacing w:after="0" w:line="240" w:lineRule="auto"/>
        <w:jc w:val="both"/>
        <w:rPr>
          <w:rFonts w:eastAsia="Times New Roman" w:cstheme="minorHAnsi"/>
          <w:lang w:val="en-PH"/>
        </w:rPr>
      </w:pPr>
      <w:hyperlink r:id="rId17" w:history="1">
        <w:r w:rsidRPr="00522398">
          <w:rPr>
            <w:rStyle w:val="Hyperlink"/>
            <w:rFonts w:eastAsia="Times New Roman" w:cstheme="minorHAnsi"/>
            <w:color w:val="FF6E00"/>
            <w:lang w:val="en-PH"/>
          </w:rPr>
          <w:t>AML/CFT Regime</w:t>
        </w:r>
      </w:hyperlink>
      <w:r w:rsidRPr="00067855">
        <w:rPr>
          <w:rFonts w:eastAsia="Times New Roman" w:cstheme="minorHAnsi"/>
          <w:lang w:val="en-PH"/>
        </w:rPr>
        <w:t>: Gibraltar adheres to international AML/CFT regulations for VASPs in line with the recommendations set forth by the FATF. The Proceeds of Crime Act 2015 and the Criminal Justice (Proceeds of Crime) (Amendment) Regulations 2019 are examples of relevant legislation addressing AML/CFT requirements in Gibraltar.</w:t>
      </w:r>
    </w:p>
    <w:p w14:paraId="39E9CC53" w14:textId="77777777" w:rsidR="00522398" w:rsidRPr="00522398" w:rsidRDefault="00522398" w:rsidP="00522398">
      <w:pPr>
        <w:spacing w:after="0" w:line="240" w:lineRule="auto"/>
        <w:jc w:val="both"/>
        <w:rPr>
          <w:rFonts w:eastAsia="Times New Roman" w:cstheme="minorHAnsi"/>
          <w:lang w:val="en-PH"/>
        </w:rPr>
      </w:pPr>
    </w:p>
    <w:p w14:paraId="4CA7FDAE" w14:textId="77777777" w:rsidR="00522398" w:rsidRPr="00522398" w:rsidRDefault="00522398" w:rsidP="00522398">
      <w:pPr>
        <w:spacing w:after="0" w:line="240" w:lineRule="auto"/>
        <w:jc w:val="both"/>
        <w:rPr>
          <w:rFonts w:eastAsia="Times New Roman" w:cstheme="minorHAnsi"/>
          <w:lang w:val="en-PH"/>
        </w:rPr>
      </w:pPr>
    </w:p>
    <w:p w14:paraId="1F5CDC3C" w14:textId="77777777" w:rsidR="00067855" w:rsidRDefault="00067855" w:rsidP="003427DB">
      <w:pPr>
        <w:pStyle w:val="Heading2"/>
      </w:pPr>
      <w:bookmarkStart w:id="3" w:name="_Toc195261844"/>
      <w:r w:rsidRPr="00067855">
        <w:t>Who do such laws and regulations apply to?</w:t>
      </w:r>
      <w:bookmarkEnd w:id="3"/>
    </w:p>
    <w:p w14:paraId="4620B330" w14:textId="77777777" w:rsidR="00CB6FEF" w:rsidRPr="00067855" w:rsidRDefault="00CB6FEF" w:rsidP="00067855">
      <w:pPr>
        <w:spacing w:after="0" w:line="240" w:lineRule="auto"/>
        <w:ind w:left="360"/>
        <w:jc w:val="both"/>
        <w:rPr>
          <w:rFonts w:eastAsia="Times New Roman" w:cstheme="minorHAnsi"/>
          <w:lang w:val="en-PH"/>
        </w:rPr>
      </w:pPr>
    </w:p>
    <w:p w14:paraId="4879B3FA" w14:textId="77777777" w:rsidR="00067855" w:rsidRDefault="00067855" w:rsidP="00067855">
      <w:pPr>
        <w:spacing w:after="0" w:line="240" w:lineRule="auto"/>
        <w:ind w:left="360"/>
        <w:jc w:val="both"/>
        <w:rPr>
          <w:rFonts w:eastAsia="Times New Roman" w:cstheme="minorHAnsi"/>
          <w:lang w:val="en-PH"/>
        </w:rPr>
      </w:pPr>
      <w:r w:rsidRPr="00067855">
        <w:rPr>
          <w:rFonts w:eastAsia="Times New Roman" w:cstheme="minorHAnsi"/>
          <w:lang w:val="en-PH"/>
        </w:rPr>
        <w:t>The virtual assets laws and regulations in Gibraltar are primarily designed for DLT providers, encompassing a wide range of activities related to virtual assets and blockchain technology. DLT providers include firms that use DLT for storing or transmitting value belonging to others, such as cryptocurrency exchanges, wallet service providers, and other businesses that facilitate the transfer, storage, or management of virtual assets.</w:t>
      </w:r>
    </w:p>
    <w:p w14:paraId="2B3F8631" w14:textId="77777777" w:rsidR="00CB6FEF" w:rsidRPr="00067855" w:rsidRDefault="00CB6FEF" w:rsidP="00067855">
      <w:pPr>
        <w:spacing w:after="0" w:line="240" w:lineRule="auto"/>
        <w:ind w:left="360"/>
        <w:jc w:val="both"/>
        <w:rPr>
          <w:rFonts w:eastAsia="Times New Roman" w:cstheme="minorHAnsi"/>
          <w:lang w:val="en-PH"/>
        </w:rPr>
      </w:pPr>
    </w:p>
    <w:p w14:paraId="7FFA50EA" w14:textId="77777777" w:rsidR="00067855" w:rsidRDefault="00067855" w:rsidP="003427DB">
      <w:pPr>
        <w:pStyle w:val="Heading2"/>
      </w:pPr>
      <w:bookmarkStart w:id="4" w:name="_Toc195261845"/>
      <w:r w:rsidRPr="00067855">
        <w:t>Who are the relevant regulatory authorities in relation to virtual assets in Gibraltar?</w:t>
      </w:r>
      <w:bookmarkEnd w:id="4"/>
    </w:p>
    <w:p w14:paraId="4322842F" w14:textId="77777777" w:rsidR="00CB6FEF" w:rsidRPr="00067855" w:rsidRDefault="00CB6FEF" w:rsidP="00067855">
      <w:pPr>
        <w:spacing w:after="0" w:line="240" w:lineRule="auto"/>
        <w:ind w:left="360"/>
        <w:jc w:val="both"/>
        <w:rPr>
          <w:rFonts w:eastAsia="Times New Roman" w:cstheme="minorHAnsi"/>
          <w:lang w:val="en-PH"/>
        </w:rPr>
      </w:pPr>
    </w:p>
    <w:p w14:paraId="40FF0BB5" w14:textId="77777777" w:rsidR="00067855" w:rsidRDefault="00067855" w:rsidP="00067855">
      <w:pPr>
        <w:spacing w:after="0" w:line="240" w:lineRule="auto"/>
        <w:ind w:left="360"/>
        <w:jc w:val="both"/>
        <w:rPr>
          <w:rFonts w:eastAsia="Times New Roman" w:cstheme="minorHAnsi"/>
          <w:lang w:val="en-PH"/>
        </w:rPr>
      </w:pPr>
      <w:r w:rsidRPr="00067855">
        <w:rPr>
          <w:rFonts w:eastAsia="Times New Roman" w:cstheme="minorHAnsi"/>
          <w:lang w:val="en-PH"/>
        </w:rPr>
        <w:t>The GFSC serves as the primary regulatory authority in Gibraltar, overseeing virtual assets and DLT. As an independent statutory body, the GFSC is responsible for the regulation and supervision of financial services in Gibraltar, including the virtual assets sector.</w:t>
      </w:r>
    </w:p>
    <w:p w14:paraId="13E90E02" w14:textId="77777777" w:rsidR="00CB6FEF" w:rsidRPr="00067855" w:rsidRDefault="00CB6FEF" w:rsidP="00067855">
      <w:pPr>
        <w:spacing w:after="0" w:line="240" w:lineRule="auto"/>
        <w:ind w:left="360"/>
        <w:jc w:val="both"/>
        <w:rPr>
          <w:rFonts w:eastAsia="Times New Roman" w:cstheme="minorHAnsi"/>
          <w:lang w:val="en-PH"/>
        </w:rPr>
      </w:pPr>
    </w:p>
    <w:p w14:paraId="1370EB69" w14:textId="77777777" w:rsidR="00067855" w:rsidRDefault="00067855" w:rsidP="00067855">
      <w:pPr>
        <w:spacing w:after="0" w:line="240" w:lineRule="auto"/>
        <w:ind w:left="360"/>
        <w:jc w:val="both"/>
        <w:rPr>
          <w:rFonts w:eastAsia="Times New Roman" w:cstheme="minorHAnsi"/>
          <w:lang w:val="en-PH"/>
        </w:rPr>
      </w:pPr>
      <w:r w:rsidRPr="00067855">
        <w:rPr>
          <w:rFonts w:eastAsia="Times New Roman" w:cstheme="minorHAnsi"/>
          <w:lang w:val="en-PH"/>
        </w:rPr>
        <w:t>The GFSC's role in the DLT and virtual assets sector includes:</w:t>
      </w:r>
    </w:p>
    <w:p w14:paraId="02C5FC0C" w14:textId="77777777" w:rsidR="00CB6FEF" w:rsidRPr="00067855" w:rsidRDefault="00CB6FEF" w:rsidP="00067855">
      <w:pPr>
        <w:spacing w:after="0" w:line="240" w:lineRule="auto"/>
        <w:ind w:left="360"/>
        <w:jc w:val="both"/>
        <w:rPr>
          <w:rFonts w:eastAsia="Times New Roman" w:cstheme="minorHAnsi"/>
          <w:lang w:val="en-PH"/>
        </w:rPr>
      </w:pPr>
    </w:p>
    <w:p w14:paraId="6E03C7A6" w14:textId="77777777" w:rsidR="00067855" w:rsidRDefault="00067855" w:rsidP="00067855">
      <w:pPr>
        <w:pStyle w:val="ListParagraph"/>
        <w:numPr>
          <w:ilvl w:val="0"/>
          <w:numId w:val="39"/>
        </w:numPr>
        <w:spacing w:after="0" w:line="240" w:lineRule="auto"/>
        <w:jc w:val="both"/>
        <w:rPr>
          <w:rFonts w:eastAsia="Times New Roman" w:cstheme="minorHAnsi"/>
          <w:lang w:val="en-PH"/>
        </w:rPr>
      </w:pPr>
      <w:r w:rsidRPr="00067855">
        <w:rPr>
          <w:rFonts w:eastAsia="Times New Roman" w:cstheme="minorHAnsi"/>
          <w:u w:val="single"/>
          <w:lang w:val="en-PH"/>
        </w:rPr>
        <w:t>Regulation and licensing</w:t>
      </w:r>
      <w:r w:rsidRPr="00067855">
        <w:rPr>
          <w:rFonts w:eastAsia="Times New Roman" w:cstheme="minorHAnsi"/>
          <w:lang w:val="en-PH"/>
        </w:rPr>
        <w:t>: The GFSC regulates and licenses DLT firms and activities, such as:</w:t>
      </w:r>
    </w:p>
    <w:p w14:paraId="70B8FA36" w14:textId="77777777" w:rsidR="00CB6FEF" w:rsidRPr="00CB6FEF" w:rsidRDefault="00CB6FEF" w:rsidP="00CB6FEF">
      <w:pPr>
        <w:spacing w:after="0" w:line="240" w:lineRule="auto"/>
        <w:jc w:val="both"/>
        <w:rPr>
          <w:rFonts w:eastAsia="Times New Roman" w:cstheme="minorHAnsi"/>
          <w:lang w:val="en-PH"/>
        </w:rPr>
      </w:pPr>
    </w:p>
    <w:p w14:paraId="220F2777" w14:textId="77777777" w:rsidR="00067855" w:rsidRDefault="00067855" w:rsidP="00067855">
      <w:pPr>
        <w:pStyle w:val="ListParagraph"/>
        <w:numPr>
          <w:ilvl w:val="1"/>
          <w:numId w:val="39"/>
        </w:numPr>
        <w:spacing w:after="0" w:line="240" w:lineRule="auto"/>
        <w:jc w:val="both"/>
        <w:rPr>
          <w:rFonts w:eastAsia="Times New Roman" w:cstheme="minorHAnsi"/>
          <w:lang w:val="en-PH"/>
        </w:rPr>
      </w:pPr>
      <w:r w:rsidRPr="00067855">
        <w:rPr>
          <w:rFonts w:eastAsia="Times New Roman" w:cstheme="minorHAnsi"/>
          <w:lang w:val="en-PH"/>
        </w:rPr>
        <w:t>Crypto exchanges</w:t>
      </w:r>
    </w:p>
    <w:p w14:paraId="490B61EB" w14:textId="77777777" w:rsidR="00CE44ED" w:rsidRPr="00067855" w:rsidRDefault="00CE44ED" w:rsidP="00CE44ED">
      <w:pPr>
        <w:pStyle w:val="ListParagraph"/>
        <w:spacing w:after="0" w:line="240" w:lineRule="auto"/>
        <w:ind w:left="1800"/>
        <w:jc w:val="both"/>
        <w:rPr>
          <w:rFonts w:eastAsia="Times New Roman" w:cstheme="minorHAnsi"/>
          <w:lang w:val="en-PH"/>
        </w:rPr>
      </w:pPr>
    </w:p>
    <w:p w14:paraId="3A69B2F5" w14:textId="77777777" w:rsidR="00067855" w:rsidRDefault="00067855" w:rsidP="00067855">
      <w:pPr>
        <w:pStyle w:val="ListParagraph"/>
        <w:numPr>
          <w:ilvl w:val="1"/>
          <w:numId w:val="39"/>
        </w:numPr>
        <w:spacing w:after="0" w:line="240" w:lineRule="auto"/>
        <w:jc w:val="both"/>
        <w:rPr>
          <w:rFonts w:eastAsia="Times New Roman" w:cstheme="minorHAnsi"/>
          <w:lang w:val="en-PH"/>
        </w:rPr>
      </w:pPr>
      <w:r w:rsidRPr="00067855">
        <w:rPr>
          <w:rFonts w:eastAsia="Times New Roman" w:cstheme="minorHAnsi"/>
          <w:lang w:val="en-PH"/>
        </w:rPr>
        <w:t>Crypto-currency purse and asset storage service providers</w:t>
      </w:r>
    </w:p>
    <w:p w14:paraId="3D977F8C" w14:textId="77777777" w:rsidR="00CE44ED" w:rsidRPr="00CE44ED" w:rsidRDefault="00CE44ED" w:rsidP="00CE44ED">
      <w:pPr>
        <w:spacing w:after="0" w:line="240" w:lineRule="auto"/>
        <w:jc w:val="both"/>
        <w:rPr>
          <w:rFonts w:eastAsia="Times New Roman" w:cstheme="minorHAnsi"/>
          <w:lang w:val="en-PH"/>
        </w:rPr>
      </w:pPr>
    </w:p>
    <w:p w14:paraId="040339B9" w14:textId="77777777" w:rsidR="00067855" w:rsidRDefault="00067855" w:rsidP="00067855">
      <w:pPr>
        <w:pStyle w:val="ListParagraph"/>
        <w:numPr>
          <w:ilvl w:val="1"/>
          <w:numId w:val="39"/>
        </w:numPr>
        <w:spacing w:after="0" w:line="240" w:lineRule="auto"/>
        <w:jc w:val="both"/>
        <w:rPr>
          <w:rFonts w:eastAsia="Times New Roman" w:cstheme="minorHAnsi"/>
          <w:lang w:val="en-PH"/>
        </w:rPr>
      </w:pPr>
      <w:r w:rsidRPr="00067855">
        <w:rPr>
          <w:rFonts w:eastAsia="Times New Roman" w:cstheme="minorHAnsi"/>
          <w:lang w:val="en-PH"/>
        </w:rPr>
        <w:t>Crypto-currency purse providers</w:t>
      </w:r>
    </w:p>
    <w:p w14:paraId="3ACBCA60" w14:textId="77777777" w:rsidR="00CE44ED" w:rsidRPr="00CE44ED" w:rsidRDefault="00CE44ED" w:rsidP="00CE44ED">
      <w:pPr>
        <w:spacing w:after="0" w:line="240" w:lineRule="auto"/>
        <w:jc w:val="both"/>
        <w:rPr>
          <w:rFonts w:eastAsia="Times New Roman" w:cstheme="minorHAnsi"/>
          <w:lang w:val="en-PH"/>
        </w:rPr>
      </w:pPr>
    </w:p>
    <w:p w14:paraId="0ACA2416" w14:textId="77777777" w:rsidR="00067855" w:rsidRDefault="00067855" w:rsidP="00067855">
      <w:pPr>
        <w:pStyle w:val="ListParagraph"/>
        <w:numPr>
          <w:ilvl w:val="1"/>
          <w:numId w:val="39"/>
        </w:numPr>
        <w:spacing w:after="0" w:line="240" w:lineRule="auto"/>
        <w:jc w:val="both"/>
        <w:rPr>
          <w:rFonts w:eastAsia="Times New Roman" w:cstheme="minorHAnsi"/>
          <w:lang w:val="en-PH"/>
        </w:rPr>
      </w:pPr>
      <w:r w:rsidRPr="00067855">
        <w:rPr>
          <w:rFonts w:eastAsia="Times New Roman" w:cstheme="minorHAnsi"/>
          <w:lang w:val="en-PH"/>
        </w:rPr>
        <w:t>DLT-based trading platforms that facilitate the purchase and sale of goods and services</w:t>
      </w:r>
    </w:p>
    <w:p w14:paraId="71060382" w14:textId="77777777" w:rsidR="00CB6FEF" w:rsidRPr="00CB6FEF" w:rsidRDefault="00CB6FEF" w:rsidP="00CB6FEF">
      <w:pPr>
        <w:spacing w:after="0" w:line="240" w:lineRule="auto"/>
        <w:ind w:left="1800"/>
        <w:jc w:val="both"/>
        <w:rPr>
          <w:rFonts w:eastAsia="Times New Roman" w:cstheme="minorHAnsi"/>
          <w:lang w:val="en-PH"/>
        </w:rPr>
      </w:pPr>
    </w:p>
    <w:p w14:paraId="07D7041D" w14:textId="77777777" w:rsidR="00067855" w:rsidRDefault="00067855" w:rsidP="00A22169">
      <w:pPr>
        <w:pStyle w:val="ListParagraph"/>
        <w:numPr>
          <w:ilvl w:val="0"/>
          <w:numId w:val="39"/>
        </w:numPr>
        <w:spacing w:after="0" w:line="240" w:lineRule="auto"/>
        <w:jc w:val="both"/>
        <w:rPr>
          <w:rFonts w:eastAsia="Times New Roman" w:cstheme="minorHAnsi"/>
          <w:lang w:val="en-PH"/>
        </w:rPr>
      </w:pPr>
      <w:r w:rsidRPr="00067855">
        <w:rPr>
          <w:rFonts w:eastAsia="Times New Roman" w:cstheme="minorHAnsi"/>
          <w:u w:val="single"/>
          <w:lang w:val="en-PH"/>
        </w:rPr>
        <w:t>Authorisation and licensing of DLT suppliers:</w:t>
      </w:r>
      <w:r w:rsidRPr="00067855">
        <w:rPr>
          <w:rFonts w:eastAsia="Times New Roman" w:cstheme="minorHAnsi"/>
          <w:lang w:val="en-PH"/>
        </w:rPr>
        <w:t xml:space="preserve"> The GFSC is responsible for authorising and licensing DLT suppliers, including distributors like cryptocurrency exchanges and depositories.</w:t>
      </w:r>
    </w:p>
    <w:p w14:paraId="272FD8BD" w14:textId="77777777" w:rsidR="00CB6FEF" w:rsidRPr="00CB6FEF" w:rsidRDefault="00CB6FEF" w:rsidP="00A22169">
      <w:pPr>
        <w:spacing w:after="0" w:line="240" w:lineRule="auto"/>
        <w:jc w:val="both"/>
        <w:rPr>
          <w:rFonts w:eastAsia="Times New Roman" w:cstheme="minorHAnsi"/>
          <w:lang w:val="en-PH"/>
        </w:rPr>
      </w:pPr>
    </w:p>
    <w:p w14:paraId="5EC56EC7" w14:textId="77777777" w:rsidR="00067855" w:rsidRDefault="00067855" w:rsidP="00A22169">
      <w:pPr>
        <w:pStyle w:val="ListParagraph"/>
        <w:numPr>
          <w:ilvl w:val="0"/>
          <w:numId w:val="39"/>
        </w:numPr>
        <w:spacing w:after="0" w:line="240" w:lineRule="auto"/>
        <w:jc w:val="both"/>
        <w:rPr>
          <w:rFonts w:eastAsia="Times New Roman" w:cstheme="minorHAnsi"/>
          <w:lang w:val="en-PH"/>
        </w:rPr>
      </w:pPr>
      <w:r w:rsidRPr="00067855">
        <w:rPr>
          <w:rFonts w:eastAsia="Times New Roman" w:cstheme="minorHAnsi"/>
          <w:u w:val="single"/>
          <w:lang w:val="en-PH"/>
        </w:rPr>
        <w:t>Active supervision and enforcement</w:t>
      </w:r>
      <w:r w:rsidRPr="00067855">
        <w:rPr>
          <w:rFonts w:eastAsia="Times New Roman" w:cstheme="minorHAnsi"/>
          <w:lang w:val="en-PH"/>
        </w:rPr>
        <w:t>: The GFSC actively supervises and enforces DLT regulations in Gibraltar, ensuring that licensed entities comply with international standards and maintain high levels of corporate governance, risk management, and consumer protection.</w:t>
      </w:r>
    </w:p>
    <w:p w14:paraId="27BB3E5C" w14:textId="77777777" w:rsidR="00CB6FEF" w:rsidRPr="00CB6FEF" w:rsidRDefault="00CB6FEF" w:rsidP="00A22169">
      <w:pPr>
        <w:spacing w:after="0" w:line="240" w:lineRule="auto"/>
        <w:jc w:val="both"/>
        <w:rPr>
          <w:rFonts w:eastAsia="Times New Roman" w:cstheme="minorHAnsi"/>
          <w:lang w:val="en-PH"/>
        </w:rPr>
      </w:pPr>
    </w:p>
    <w:p w14:paraId="5737A281" w14:textId="77777777" w:rsidR="00067855" w:rsidRDefault="00067855" w:rsidP="00A22169">
      <w:pPr>
        <w:pStyle w:val="ListParagraph"/>
        <w:numPr>
          <w:ilvl w:val="0"/>
          <w:numId w:val="39"/>
        </w:numPr>
        <w:spacing w:after="0" w:line="240" w:lineRule="auto"/>
        <w:jc w:val="both"/>
        <w:rPr>
          <w:rFonts w:eastAsia="Times New Roman" w:cstheme="minorHAnsi"/>
          <w:lang w:val="en-PH"/>
        </w:rPr>
      </w:pPr>
      <w:r w:rsidRPr="00067855">
        <w:rPr>
          <w:rFonts w:eastAsia="Times New Roman" w:cstheme="minorHAnsi"/>
          <w:u w:val="single"/>
          <w:lang w:val="en-PH"/>
        </w:rPr>
        <w:t>Guidance and regulatory updates</w:t>
      </w:r>
      <w:r w:rsidRPr="00067855">
        <w:rPr>
          <w:rFonts w:eastAsia="Times New Roman" w:cstheme="minorHAnsi"/>
          <w:lang w:val="en-PH"/>
        </w:rPr>
        <w:t>: The GFSC issues guidance notes and regulatory updates to help DLT providers understand and comply with their obligations under the DLT regulatory framework.</w:t>
      </w:r>
    </w:p>
    <w:p w14:paraId="4291A7D3" w14:textId="77777777" w:rsidR="00CB6FEF" w:rsidRPr="00CB6FEF" w:rsidRDefault="00CB6FEF" w:rsidP="00CB6FEF">
      <w:pPr>
        <w:spacing w:after="0" w:line="240" w:lineRule="auto"/>
        <w:jc w:val="both"/>
        <w:rPr>
          <w:rFonts w:eastAsia="Times New Roman" w:cstheme="minorHAnsi"/>
          <w:lang w:val="en-PH"/>
        </w:rPr>
      </w:pPr>
    </w:p>
    <w:p w14:paraId="0C622361" w14:textId="77777777" w:rsidR="00067855" w:rsidRDefault="00067855" w:rsidP="00067855">
      <w:pPr>
        <w:spacing w:after="0" w:line="240" w:lineRule="auto"/>
        <w:ind w:left="360"/>
        <w:jc w:val="both"/>
        <w:rPr>
          <w:rFonts w:eastAsia="Times New Roman" w:cstheme="minorHAnsi"/>
          <w:lang w:val="en-PH"/>
        </w:rPr>
      </w:pPr>
      <w:r w:rsidRPr="00067855">
        <w:rPr>
          <w:rFonts w:eastAsia="Times New Roman" w:cstheme="minorHAnsi"/>
          <w:lang w:val="en-PH"/>
        </w:rPr>
        <w:lastRenderedPageBreak/>
        <w:t>The Gibraltar New Technologies Association (</w:t>
      </w:r>
      <w:hyperlink r:id="rId18" w:tgtFrame="_blank" w:history="1">
        <w:r w:rsidRPr="00067855">
          <w:rPr>
            <w:rStyle w:val="Hyperlink"/>
            <w:rFonts w:eastAsia="Times New Roman" w:cstheme="minorHAnsi"/>
            <w:b/>
            <w:bCs/>
            <w:color w:val="FF6E00"/>
            <w:u w:val="none"/>
            <w:lang w:val="en-PH"/>
          </w:rPr>
          <w:t>GANT</w:t>
        </w:r>
      </w:hyperlink>
      <w:r w:rsidRPr="00067855">
        <w:rPr>
          <w:rFonts w:eastAsia="Times New Roman" w:cstheme="minorHAnsi"/>
          <w:lang w:val="en-PH"/>
        </w:rPr>
        <w:t>) has also been established to promote the development of blockchain and DLT.</w:t>
      </w:r>
    </w:p>
    <w:p w14:paraId="28FC12C8" w14:textId="77777777" w:rsidR="00CB6FEF" w:rsidRPr="00067855" w:rsidRDefault="00CB6FEF" w:rsidP="00067855">
      <w:pPr>
        <w:spacing w:after="0" w:line="240" w:lineRule="auto"/>
        <w:ind w:left="360"/>
        <w:jc w:val="both"/>
        <w:rPr>
          <w:rFonts w:eastAsia="Times New Roman" w:cstheme="minorHAnsi"/>
          <w:lang w:val="en-PH"/>
        </w:rPr>
      </w:pPr>
    </w:p>
    <w:p w14:paraId="2BF40506" w14:textId="77777777" w:rsidR="00067855" w:rsidRDefault="00067855" w:rsidP="003427DB">
      <w:pPr>
        <w:pStyle w:val="Heading2"/>
      </w:pPr>
      <w:bookmarkStart w:id="5" w:name="_Toc195261846"/>
      <w:r w:rsidRPr="00067855">
        <w:t>What are the penalties for breaches of virtual asset laws and regulations in Gibraltar?</w:t>
      </w:r>
      <w:bookmarkEnd w:id="5"/>
    </w:p>
    <w:p w14:paraId="062312F2" w14:textId="77777777" w:rsidR="00CB6FEF" w:rsidRPr="00067855" w:rsidRDefault="00CB6FEF" w:rsidP="00067855">
      <w:pPr>
        <w:spacing w:after="0" w:line="240" w:lineRule="auto"/>
        <w:ind w:left="360"/>
        <w:jc w:val="both"/>
        <w:rPr>
          <w:rFonts w:eastAsia="Times New Roman" w:cstheme="minorHAnsi"/>
          <w:lang w:val="en-PH"/>
        </w:rPr>
      </w:pPr>
    </w:p>
    <w:p w14:paraId="4B718747" w14:textId="77777777" w:rsidR="00067855" w:rsidRDefault="00067855" w:rsidP="00067855">
      <w:pPr>
        <w:spacing w:after="0" w:line="240" w:lineRule="auto"/>
        <w:ind w:left="360"/>
        <w:jc w:val="both"/>
        <w:rPr>
          <w:rFonts w:eastAsia="Times New Roman" w:cstheme="minorHAnsi"/>
          <w:lang w:val="en-PH"/>
        </w:rPr>
      </w:pPr>
      <w:r w:rsidRPr="00067855">
        <w:rPr>
          <w:rFonts w:eastAsia="Times New Roman" w:cstheme="minorHAnsi"/>
          <w:lang w:val="en-PH"/>
        </w:rPr>
        <w:t>In Gibraltar, breaches of virtual asset laws and regulations can lead to various penalties and enforcement actions. These include:</w:t>
      </w:r>
    </w:p>
    <w:p w14:paraId="6722EB50" w14:textId="77777777" w:rsidR="00CB6FEF" w:rsidRPr="00067855" w:rsidRDefault="00CB6FEF" w:rsidP="00067855">
      <w:pPr>
        <w:spacing w:after="0" w:line="240" w:lineRule="auto"/>
        <w:ind w:left="360"/>
        <w:jc w:val="both"/>
        <w:rPr>
          <w:rFonts w:eastAsia="Times New Roman" w:cstheme="minorHAnsi"/>
          <w:lang w:val="en-PH"/>
        </w:rPr>
      </w:pPr>
    </w:p>
    <w:p w14:paraId="5D5F8F4D" w14:textId="12662DF9" w:rsidR="00067855" w:rsidRDefault="00067855" w:rsidP="00067855">
      <w:pPr>
        <w:pStyle w:val="ListParagraph"/>
        <w:numPr>
          <w:ilvl w:val="0"/>
          <w:numId w:val="40"/>
        </w:numPr>
        <w:spacing w:after="0" w:line="240" w:lineRule="auto"/>
        <w:jc w:val="both"/>
        <w:rPr>
          <w:rFonts w:eastAsia="Times New Roman" w:cstheme="minorHAnsi"/>
          <w:lang w:val="en-PH"/>
        </w:rPr>
      </w:pPr>
      <w:hyperlink r:id="rId19" w:history="1">
        <w:r w:rsidRPr="00CB6FEF">
          <w:rPr>
            <w:rStyle w:val="Hyperlink"/>
            <w:rFonts w:eastAsia="Times New Roman" w:cstheme="minorHAnsi"/>
            <w:color w:val="FF6E00"/>
            <w:lang w:val="en-PH"/>
          </w:rPr>
          <w:t>Penalties</w:t>
        </w:r>
      </w:hyperlink>
      <w:r w:rsidRPr="00067855">
        <w:rPr>
          <w:rFonts w:eastAsia="Times New Roman" w:cstheme="minorHAnsi"/>
          <w:lang w:val="en-PH"/>
        </w:rPr>
        <w:t>:</w:t>
      </w:r>
    </w:p>
    <w:p w14:paraId="3DBCA43B" w14:textId="77777777" w:rsidR="00CB6FEF" w:rsidRPr="00CB6FEF" w:rsidRDefault="00CB6FEF" w:rsidP="00CB6FEF">
      <w:pPr>
        <w:spacing w:after="0" w:line="240" w:lineRule="auto"/>
        <w:ind w:left="720"/>
        <w:jc w:val="both"/>
        <w:rPr>
          <w:rFonts w:eastAsia="Times New Roman" w:cstheme="minorHAnsi"/>
          <w:lang w:val="en-PH"/>
        </w:rPr>
      </w:pPr>
    </w:p>
    <w:p w14:paraId="36095504" w14:textId="77777777" w:rsidR="00067855" w:rsidRDefault="00067855" w:rsidP="00067855">
      <w:pPr>
        <w:pStyle w:val="ListParagraph"/>
        <w:numPr>
          <w:ilvl w:val="1"/>
          <w:numId w:val="40"/>
        </w:numPr>
        <w:spacing w:after="0" w:line="240" w:lineRule="auto"/>
        <w:jc w:val="both"/>
        <w:rPr>
          <w:rFonts w:eastAsia="Times New Roman" w:cstheme="minorHAnsi"/>
          <w:lang w:val="en-PH"/>
        </w:rPr>
      </w:pPr>
      <w:r w:rsidRPr="00067855">
        <w:rPr>
          <w:rFonts w:eastAsia="Times New Roman" w:cstheme="minorHAnsi"/>
          <w:u w:val="single"/>
          <w:lang w:val="en-PH"/>
        </w:rPr>
        <w:t>Imprisonment and fines</w:t>
      </w:r>
      <w:r w:rsidRPr="00067855">
        <w:rPr>
          <w:rFonts w:eastAsia="Times New Roman" w:cstheme="minorHAnsi"/>
          <w:lang w:val="en-PH"/>
        </w:rPr>
        <w:t>: Individuals failing to comply with regulations can face imprisonment for up to 2 years, fines, or both on conviction.</w:t>
      </w:r>
    </w:p>
    <w:p w14:paraId="1B0F44B7" w14:textId="77777777" w:rsidR="00203C20" w:rsidRPr="00203C20" w:rsidRDefault="00203C20" w:rsidP="00203C20">
      <w:pPr>
        <w:spacing w:after="0" w:line="240" w:lineRule="auto"/>
        <w:ind w:left="1440"/>
        <w:jc w:val="both"/>
        <w:rPr>
          <w:rFonts w:eastAsia="Times New Roman" w:cstheme="minorHAnsi"/>
          <w:lang w:val="en-PH"/>
        </w:rPr>
      </w:pPr>
    </w:p>
    <w:p w14:paraId="1F0F3E57" w14:textId="77777777" w:rsidR="00067855" w:rsidRDefault="00067855" w:rsidP="00067855">
      <w:pPr>
        <w:pStyle w:val="ListParagraph"/>
        <w:numPr>
          <w:ilvl w:val="1"/>
          <w:numId w:val="40"/>
        </w:numPr>
        <w:spacing w:after="0" w:line="240" w:lineRule="auto"/>
        <w:jc w:val="both"/>
        <w:rPr>
          <w:rFonts w:eastAsia="Times New Roman" w:cstheme="minorHAnsi"/>
          <w:lang w:val="en-PH"/>
        </w:rPr>
      </w:pPr>
      <w:r w:rsidRPr="00067855">
        <w:rPr>
          <w:rFonts w:eastAsia="Times New Roman" w:cstheme="minorHAnsi"/>
          <w:u w:val="single"/>
          <w:lang w:val="en-PH"/>
        </w:rPr>
        <w:t>Administrative penalties</w:t>
      </w:r>
      <w:r w:rsidRPr="00067855">
        <w:rPr>
          <w:rFonts w:eastAsia="Times New Roman" w:cstheme="minorHAnsi"/>
          <w:lang w:val="en-PH"/>
        </w:rPr>
        <w:t>: Offenders may face administrative penalties, public statements, cease and desist orders, temporary suspension, or prohibition orders for contravening regulatory requirements.</w:t>
      </w:r>
    </w:p>
    <w:p w14:paraId="740B723E" w14:textId="77777777" w:rsidR="00203C20" w:rsidRPr="00203C20" w:rsidRDefault="00203C20" w:rsidP="00203C20">
      <w:pPr>
        <w:spacing w:after="0" w:line="240" w:lineRule="auto"/>
        <w:jc w:val="both"/>
        <w:rPr>
          <w:rFonts w:eastAsia="Times New Roman" w:cstheme="minorHAnsi"/>
          <w:lang w:val="en-PH"/>
        </w:rPr>
      </w:pPr>
    </w:p>
    <w:p w14:paraId="26D758D0" w14:textId="3771EFAB" w:rsidR="00067855" w:rsidRDefault="00067855" w:rsidP="00067855">
      <w:pPr>
        <w:pStyle w:val="ListParagraph"/>
        <w:numPr>
          <w:ilvl w:val="1"/>
          <w:numId w:val="40"/>
        </w:numPr>
        <w:spacing w:after="0" w:line="240" w:lineRule="auto"/>
        <w:jc w:val="both"/>
        <w:rPr>
          <w:rFonts w:eastAsia="Times New Roman" w:cstheme="minorHAnsi"/>
          <w:lang w:val="en-PH"/>
        </w:rPr>
      </w:pPr>
      <w:r w:rsidRPr="00067855">
        <w:rPr>
          <w:rFonts w:eastAsia="Times New Roman" w:cstheme="minorHAnsi"/>
          <w:u w:val="single"/>
          <w:lang w:val="en-PH"/>
        </w:rPr>
        <w:t>Financial penalties</w:t>
      </w:r>
      <w:r w:rsidRPr="00067855">
        <w:rPr>
          <w:rFonts w:eastAsia="Times New Roman" w:cstheme="minorHAnsi"/>
          <w:lang w:val="en-PH"/>
        </w:rPr>
        <w:t xml:space="preserve">: Providing DLT services without a license can result in fines of up to £10,000. </w:t>
      </w:r>
    </w:p>
    <w:p w14:paraId="787A7FA0" w14:textId="77777777" w:rsidR="00CB6FEF" w:rsidRPr="00067855" w:rsidRDefault="00CB6FEF" w:rsidP="00CB6FEF">
      <w:pPr>
        <w:pStyle w:val="ListParagraph"/>
        <w:spacing w:after="0" w:line="240" w:lineRule="auto"/>
        <w:ind w:left="1800"/>
        <w:jc w:val="both"/>
        <w:rPr>
          <w:rFonts w:eastAsia="Times New Roman" w:cstheme="minorHAnsi"/>
          <w:lang w:val="en-PH"/>
        </w:rPr>
      </w:pPr>
    </w:p>
    <w:p w14:paraId="2E76E8CC" w14:textId="77777777" w:rsidR="00067855" w:rsidRDefault="00067855" w:rsidP="00067855">
      <w:pPr>
        <w:pStyle w:val="ListParagraph"/>
        <w:numPr>
          <w:ilvl w:val="0"/>
          <w:numId w:val="40"/>
        </w:numPr>
        <w:spacing w:after="0" w:line="240" w:lineRule="auto"/>
        <w:jc w:val="both"/>
        <w:rPr>
          <w:rFonts w:eastAsia="Times New Roman" w:cstheme="minorHAnsi"/>
          <w:lang w:val="en-PH"/>
        </w:rPr>
      </w:pPr>
      <w:r w:rsidRPr="00067855">
        <w:rPr>
          <w:rFonts w:eastAsia="Times New Roman" w:cstheme="minorHAnsi"/>
          <w:u w:val="single"/>
          <w:lang w:val="en-PH"/>
        </w:rPr>
        <w:t>Enforcement Actions</w:t>
      </w:r>
      <w:r w:rsidRPr="00067855">
        <w:rPr>
          <w:rFonts w:eastAsia="Times New Roman" w:cstheme="minorHAnsi"/>
          <w:lang w:val="en-PH"/>
        </w:rPr>
        <w:t>:</w:t>
      </w:r>
    </w:p>
    <w:p w14:paraId="3C3920FC" w14:textId="77777777" w:rsidR="00CB6FEF" w:rsidRPr="00067855" w:rsidRDefault="00CB6FEF" w:rsidP="00CB6FEF">
      <w:pPr>
        <w:pStyle w:val="ListParagraph"/>
        <w:spacing w:after="0" w:line="240" w:lineRule="auto"/>
        <w:ind w:left="1080"/>
        <w:jc w:val="both"/>
        <w:rPr>
          <w:rFonts w:eastAsia="Times New Roman" w:cstheme="minorHAnsi"/>
          <w:lang w:val="en-PH"/>
        </w:rPr>
      </w:pPr>
    </w:p>
    <w:p w14:paraId="22CDADA8" w14:textId="77777777" w:rsidR="00067855" w:rsidRDefault="00067855" w:rsidP="00157D4C">
      <w:pPr>
        <w:pStyle w:val="ListParagraph"/>
        <w:numPr>
          <w:ilvl w:val="1"/>
          <w:numId w:val="40"/>
        </w:numPr>
        <w:spacing w:after="0" w:line="240" w:lineRule="auto"/>
        <w:jc w:val="both"/>
        <w:rPr>
          <w:rFonts w:eastAsia="Times New Roman" w:cstheme="minorHAnsi"/>
          <w:lang w:val="en-PH"/>
        </w:rPr>
      </w:pPr>
      <w:r w:rsidRPr="00067855">
        <w:rPr>
          <w:rFonts w:eastAsia="Times New Roman" w:cstheme="minorHAnsi"/>
          <w:u w:val="single"/>
          <w:lang w:val="en-PH"/>
        </w:rPr>
        <w:t>Financial penalties</w:t>
      </w:r>
      <w:r w:rsidRPr="00067855">
        <w:rPr>
          <w:rFonts w:eastAsia="Times New Roman" w:cstheme="minorHAnsi"/>
          <w:lang w:val="en-PH"/>
        </w:rPr>
        <w:t>: The GFSC can impose financial penalties of up to £5 million on firms or individuals for breaches.</w:t>
      </w:r>
    </w:p>
    <w:p w14:paraId="54CC175A" w14:textId="77777777" w:rsidR="00203C20" w:rsidRPr="00203C20" w:rsidRDefault="00203C20" w:rsidP="00203C20">
      <w:pPr>
        <w:spacing w:after="0" w:line="240" w:lineRule="auto"/>
        <w:ind w:left="1440"/>
        <w:jc w:val="both"/>
        <w:rPr>
          <w:rFonts w:eastAsia="Times New Roman" w:cstheme="minorHAnsi"/>
          <w:lang w:val="en-PH"/>
        </w:rPr>
      </w:pPr>
    </w:p>
    <w:p w14:paraId="478BCDD0" w14:textId="77777777" w:rsidR="00067855" w:rsidRDefault="00067855" w:rsidP="00157D4C">
      <w:pPr>
        <w:pStyle w:val="ListParagraph"/>
        <w:numPr>
          <w:ilvl w:val="1"/>
          <w:numId w:val="40"/>
        </w:numPr>
        <w:spacing w:after="0" w:line="240" w:lineRule="auto"/>
        <w:jc w:val="both"/>
        <w:rPr>
          <w:rFonts w:eastAsia="Times New Roman" w:cstheme="minorHAnsi"/>
          <w:lang w:val="en-PH"/>
        </w:rPr>
      </w:pPr>
      <w:r w:rsidRPr="00067855">
        <w:rPr>
          <w:rFonts w:eastAsia="Times New Roman" w:cstheme="minorHAnsi"/>
          <w:u w:val="single"/>
          <w:lang w:val="en-PH"/>
        </w:rPr>
        <w:t>Public censure</w:t>
      </w:r>
      <w:r w:rsidRPr="00067855">
        <w:rPr>
          <w:rFonts w:eastAsia="Times New Roman" w:cstheme="minorHAnsi"/>
          <w:lang w:val="en-PH"/>
        </w:rPr>
        <w:t>: GFSC can publicly censure those in breach, impacting their reputation.</w:t>
      </w:r>
    </w:p>
    <w:p w14:paraId="557B9953" w14:textId="77777777" w:rsidR="00203C20" w:rsidRPr="00203C20" w:rsidRDefault="00203C20" w:rsidP="00203C20">
      <w:pPr>
        <w:spacing w:after="0" w:line="240" w:lineRule="auto"/>
        <w:jc w:val="both"/>
        <w:rPr>
          <w:rFonts w:eastAsia="Times New Roman" w:cstheme="minorHAnsi"/>
          <w:lang w:val="en-PH"/>
        </w:rPr>
      </w:pPr>
    </w:p>
    <w:p w14:paraId="59637EDA" w14:textId="77777777" w:rsidR="00067855" w:rsidRDefault="00067855" w:rsidP="00157D4C">
      <w:pPr>
        <w:pStyle w:val="ListParagraph"/>
        <w:numPr>
          <w:ilvl w:val="1"/>
          <w:numId w:val="40"/>
        </w:numPr>
        <w:spacing w:after="0" w:line="240" w:lineRule="auto"/>
        <w:jc w:val="both"/>
        <w:rPr>
          <w:rFonts w:eastAsia="Times New Roman" w:cstheme="minorHAnsi"/>
          <w:lang w:val="en-PH"/>
        </w:rPr>
      </w:pPr>
      <w:r w:rsidRPr="00067855">
        <w:rPr>
          <w:rFonts w:eastAsia="Times New Roman" w:cstheme="minorHAnsi"/>
          <w:u w:val="single"/>
          <w:lang w:val="en-PH"/>
        </w:rPr>
        <w:t>Suspension or revocation of authorisation</w:t>
      </w:r>
      <w:r w:rsidRPr="00067855">
        <w:rPr>
          <w:rFonts w:eastAsia="Times New Roman" w:cstheme="minorHAnsi"/>
          <w:lang w:val="en-PH"/>
        </w:rPr>
        <w:t>: GFSC can suspend or revoke authorisation, preventing further provision of virtual asset services.</w:t>
      </w:r>
    </w:p>
    <w:p w14:paraId="368D3A0A" w14:textId="77777777" w:rsidR="00203C20" w:rsidRPr="00203C20" w:rsidRDefault="00203C20" w:rsidP="00203C20">
      <w:pPr>
        <w:spacing w:after="0" w:line="240" w:lineRule="auto"/>
        <w:ind w:left="1440"/>
        <w:jc w:val="both"/>
        <w:rPr>
          <w:rFonts w:eastAsia="Times New Roman" w:cstheme="minorHAnsi"/>
          <w:lang w:val="en-PH"/>
        </w:rPr>
      </w:pPr>
    </w:p>
    <w:p w14:paraId="59064650" w14:textId="77777777" w:rsidR="00067855" w:rsidRDefault="00067855" w:rsidP="00157D4C">
      <w:pPr>
        <w:pStyle w:val="ListParagraph"/>
        <w:numPr>
          <w:ilvl w:val="1"/>
          <w:numId w:val="40"/>
        </w:numPr>
        <w:spacing w:after="0" w:line="240" w:lineRule="auto"/>
        <w:jc w:val="both"/>
        <w:rPr>
          <w:rFonts w:eastAsia="Times New Roman" w:cstheme="minorHAnsi"/>
          <w:lang w:val="en-PH"/>
        </w:rPr>
      </w:pPr>
      <w:r w:rsidRPr="00067855">
        <w:rPr>
          <w:rFonts w:eastAsia="Times New Roman" w:cstheme="minorHAnsi"/>
          <w:u w:val="single"/>
          <w:lang w:val="en-PH"/>
        </w:rPr>
        <w:t>Criminal prosecution</w:t>
      </w:r>
      <w:r w:rsidRPr="00067855">
        <w:rPr>
          <w:rFonts w:eastAsia="Times New Roman" w:cstheme="minorHAnsi"/>
          <w:lang w:val="en-PH"/>
        </w:rPr>
        <w:t>: Serious breaches may lead to criminal prosecution by law enforcement authorities.</w:t>
      </w:r>
    </w:p>
    <w:p w14:paraId="5749597C" w14:textId="77777777" w:rsidR="00CB6FEF" w:rsidRPr="00067855" w:rsidRDefault="00CB6FEF" w:rsidP="00CB6FEF">
      <w:pPr>
        <w:pStyle w:val="ListParagraph"/>
        <w:spacing w:after="0" w:line="240" w:lineRule="auto"/>
        <w:ind w:left="1800"/>
        <w:jc w:val="both"/>
        <w:rPr>
          <w:rFonts w:eastAsia="Times New Roman" w:cstheme="minorHAnsi"/>
          <w:lang w:val="en-PH"/>
        </w:rPr>
      </w:pPr>
    </w:p>
    <w:p w14:paraId="60C45216" w14:textId="77777777" w:rsidR="00067855" w:rsidRDefault="00067855" w:rsidP="003427DB">
      <w:pPr>
        <w:pStyle w:val="Heading1"/>
      </w:pPr>
      <w:bookmarkStart w:id="6" w:name="_Toc195261847"/>
      <w:r w:rsidRPr="00067855">
        <w:t>Regulation of virtual assets and offerings of virtual assets in Gibraltar</w:t>
      </w:r>
      <w:bookmarkEnd w:id="6"/>
    </w:p>
    <w:p w14:paraId="76B85B9B" w14:textId="77777777" w:rsidR="00495A68" w:rsidRPr="00067855" w:rsidRDefault="00495A68" w:rsidP="00495A68">
      <w:pPr>
        <w:spacing w:after="0" w:line="240" w:lineRule="auto"/>
        <w:ind w:left="360"/>
        <w:jc w:val="both"/>
        <w:rPr>
          <w:rFonts w:eastAsia="Times New Roman" w:cstheme="minorHAnsi"/>
          <w:b/>
          <w:bCs/>
          <w:lang w:val="en-PH"/>
        </w:rPr>
      </w:pPr>
    </w:p>
    <w:p w14:paraId="668E0CD4" w14:textId="77777777" w:rsidR="00067855" w:rsidRDefault="00067855" w:rsidP="003427DB">
      <w:pPr>
        <w:pStyle w:val="Heading2"/>
      </w:pPr>
      <w:r w:rsidRPr="00067855">
        <w:rPr>
          <w:lang w:val="en-SG"/>
        </w:rPr>
        <w:t xml:space="preserve"> </w:t>
      </w:r>
      <w:bookmarkStart w:id="7" w:name="_Toc195261848"/>
      <w:r w:rsidRPr="00067855">
        <w:t>Are virtual assets classified as ‘</w:t>
      </w:r>
      <w:proofErr w:type="gramStart"/>
      <w:r w:rsidRPr="00067855">
        <w:t>securities’</w:t>
      </w:r>
      <w:proofErr w:type="gramEnd"/>
      <w:r w:rsidRPr="00067855">
        <w:t xml:space="preserve"> or other regulated financial instruments in Gibraltar?</w:t>
      </w:r>
      <w:bookmarkEnd w:id="7"/>
    </w:p>
    <w:p w14:paraId="0ACEE6A4" w14:textId="77777777" w:rsidR="00495A68" w:rsidRPr="00067855" w:rsidRDefault="00495A68" w:rsidP="00067855">
      <w:pPr>
        <w:spacing w:after="0" w:line="240" w:lineRule="auto"/>
        <w:ind w:left="360"/>
        <w:jc w:val="both"/>
        <w:rPr>
          <w:rFonts w:cstheme="minorHAnsi"/>
          <w:u w:val="single"/>
          <w:lang w:val="en-PH"/>
        </w:rPr>
      </w:pPr>
    </w:p>
    <w:p w14:paraId="728EFE00" w14:textId="77777777" w:rsidR="00067855" w:rsidRDefault="00067855" w:rsidP="00067855">
      <w:pPr>
        <w:spacing w:after="0" w:line="240" w:lineRule="auto"/>
        <w:ind w:left="360"/>
        <w:jc w:val="both"/>
        <w:rPr>
          <w:rFonts w:eastAsia="Times New Roman" w:cstheme="minorHAnsi"/>
          <w:lang w:val="en-PH"/>
        </w:rPr>
      </w:pPr>
      <w:r w:rsidRPr="00067855">
        <w:rPr>
          <w:rFonts w:eastAsia="Times New Roman" w:cstheme="minorHAnsi"/>
          <w:lang w:val="en-PH"/>
        </w:rPr>
        <w:t>In Gibraltar, virtual assets are not automatically classified as 'securities' or other regulated financial instruments. Instead, the classification of a virtual asset depends on its specific characteristics and the purpose for which it is used.</w:t>
      </w:r>
    </w:p>
    <w:p w14:paraId="543F4475" w14:textId="77777777" w:rsidR="00495A68" w:rsidRPr="00067855" w:rsidRDefault="00495A68" w:rsidP="00067855">
      <w:pPr>
        <w:spacing w:after="0" w:line="240" w:lineRule="auto"/>
        <w:ind w:left="360"/>
        <w:jc w:val="both"/>
        <w:rPr>
          <w:rFonts w:eastAsia="Times New Roman" w:cstheme="minorHAnsi"/>
          <w:lang w:val="en-PH"/>
        </w:rPr>
      </w:pPr>
    </w:p>
    <w:p w14:paraId="72B32FCC" w14:textId="77777777" w:rsidR="00067855" w:rsidRDefault="00067855" w:rsidP="00067855">
      <w:pPr>
        <w:spacing w:after="0" w:line="240" w:lineRule="auto"/>
        <w:ind w:left="360"/>
        <w:jc w:val="both"/>
        <w:rPr>
          <w:rFonts w:eastAsia="Times New Roman" w:cstheme="minorHAnsi"/>
          <w:lang w:val="en-PH"/>
        </w:rPr>
      </w:pPr>
      <w:r w:rsidRPr="00067855">
        <w:rPr>
          <w:rFonts w:eastAsia="Times New Roman" w:cstheme="minorHAnsi"/>
          <w:lang w:val="en-PH"/>
        </w:rPr>
        <w:t xml:space="preserve">The </w:t>
      </w:r>
      <w:hyperlink r:id="rId20" w:tgtFrame="_blank" w:history="1">
        <w:r w:rsidRPr="00067855">
          <w:rPr>
            <w:rStyle w:val="Hyperlink"/>
            <w:rFonts w:eastAsia="Times New Roman" w:cstheme="minorHAnsi"/>
            <w:color w:val="FF6E00"/>
            <w:u w:val="none"/>
            <w:lang w:val="en-PH"/>
          </w:rPr>
          <w:t>Financial Services (Investment and Fiduciary Services) Act 1989</w:t>
        </w:r>
      </w:hyperlink>
      <w:r w:rsidRPr="00067855">
        <w:rPr>
          <w:rFonts w:eastAsia="Times New Roman" w:cstheme="minorHAnsi"/>
          <w:lang w:val="en-PH"/>
        </w:rPr>
        <w:t xml:space="preserve"> is the primary legislation that governs the regulation of securities and other financial instruments in Gibraltar. It defines a 'security' as any shares, stocks, bonds, debentures, warrants, options, futures, or other instruments of a like nature. Whether a virtual asset falls within the definition of a 'security' under this Act will depend on its specific features. For example, if a virtual asset is structured as a share or bond and provides its </w:t>
      </w:r>
      <w:r w:rsidRPr="00067855">
        <w:rPr>
          <w:rFonts w:eastAsia="Times New Roman" w:cstheme="minorHAnsi"/>
          <w:lang w:val="en-PH"/>
        </w:rPr>
        <w:lastRenderedPageBreak/>
        <w:t>holder with ownership rights or an entitlement to receive dividends, it is likely to be classified as a security.</w:t>
      </w:r>
    </w:p>
    <w:p w14:paraId="11787E26" w14:textId="77777777" w:rsidR="00495A68" w:rsidRPr="00067855" w:rsidRDefault="00495A68" w:rsidP="00067855">
      <w:pPr>
        <w:spacing w:after="0" w:line="240" w:lineRule="auto"/>
        <w:ind w:left="360"/>
        <w:jc w:val="both"/>
        <w:rPr>
          <w:rFonts w:eastAsia="Times New Roman" w:cstheme="minorHAnsi"/>
          <w:lang w:val="en-PH"/>
        </w:rPr>
      </w:pPr>
    </w:p>
    <w:p w14:paraId="5F3D913B" w14:textId="77777777" w:rsidR="00067855" w:rsidRDefault="00067855" w:rsidP="00067855">
      <w:pPr>
        <w:spacing w:after="0" w:line="240" w:lineRule="auto"/>
        <w:ind w:left="360"/>
        <w:jc w:val="both"/>
        <w:rPr>
          <w:rFonts w:eastAsia="Times New Roman" w:cstheme="minorHAnsi"/>
          <w:lang w:val="en-PH"/>
        </w:rPr>
      </w:pPr>
      <w:r w:rsidRPr="00067855">
        <w:rPr>
          <w:rFonts w:eastAsia="Times New Roman" w:cstheme="minorHAnsi"/>
          <w:lang w:val="en-PH"/>
        </w:rPr>
        <w:t>The GFSC has issued guidance on the classification of virtual assets, which provides further details on how virtual assets are classified in Gibraltar. The guidance sets out the factors that the GFSC considers when assessing the regulatory status of a virtual asset.</w:t>
      </w:r>
    </w:p>
    <w:p w14:paraId="5B598FD6" w14:textId="77777777" w:rsidR="00495A68" w:rsidRPr="00067855" w:rsidRDefault="00495A68" w:rsidP="00067855">
      <w:pPr>
        <w:spacing w:after="0" w:line="240" w:lineRule="auto"/>
        <w:ind w:left="360"/>
        <w:jc w:val="both"/>
        <w:rPr>
          <w:rFonts w:eastAsia="Times New Roman" w:cstheme="minorHAnsi"/>
          <w:lang w:val="en-PH"/>
        </w:rPr>
      </w:pPr>
    </w:p>
    <w:p w14:paraId="57F96278" w14:textId="77777777" w:rsidR="00067855" w:rsidRDefault="00067855" w:rsidP="00067855">
      <w:pPr>
        <w:spacing w:after="0" w:line="240" w:lineRule="auto"/>
        <w:ind w:left="360"/>
        <w:jc w:val="both"/>
        <w:rPr>
          <w:rFonts w:eastAsia="Times New Roman" w:cstheme="minorHAnsi"/>
          <w:lang w:val="en-PH"/>
        </w:rPr>
      </w:pPr>
      <w:r w:rsidRPr="00067855">
        <w:rPr>
          <w:rFonts w:eastAsia="Times New Roman" w:cstheme="minorHAnsi"/>
          <w:lang w:val="en-PH"/>
        </w:rPr>
        <w:t>The GFSC considers various factors when assessing the regulatory status of a virtual asset, including:</w:t>
      </w:r>
    </w:p>
    <w:p w14:paraId="2D68F53E" w14:textId="77777777" w:rsidR="00495A68" w:rsidRPr="00067855" w:rsidRDefault="00495A68" w:rsidP="00067855">
      <w:pPr>
        <w:spacing w:after="0" w:line="240" w:lineRule="auto"/>
        <w:ind w:left="360"/>
        <w:jc w:val="both"/>
        <w:rPr>
          <w:rFonts w:eastAsia="Times New Roman" w:cstheme="minorHAnsi"/>
          <w:lang w:val="en-PH"/>
        </w:rPr>
      </w:pPr>
    </w:p>
    <w:p w14:paraId="15436DDD" w14:textId="77777777" w:rsidR="00067855" w:rsidRDefault="00067855" w:rsidP="00F5053F">
      <w:pPr>
        <w:pStyle w:val="ListParagraph"/>
        <w:numPr>
          <w:ilvl w:val="0"/>
          <w:numId w:val="44"/>
        </w:numPr>
        <w:spacing w:after="0" w:line="240" w:lineRule="auto"/>
        <w:jc w:val="both"/>
        <w:rPr>
          <w:rFonts w:eastAsia="Times New Roman" w:cstheme="minorHAnsi"/>
          <w:lang w:val="en-PH"/>
        </w:rPr>
      </w:pPr>
      <w:r w:rsidRPr="00067855">
        <w:rPr>
          <w:rFonts w:eastAsia="Times New Roman" w:cstheme="minorHAnsi"/>
          <w:u w:val="single"/>
          <w:lang w:val="en-PH"/>
        </w:rPr>
        <w:t>The nature and purpose of the virtual asset</w:t>
      </w:r>
      <w:r w:rsidRPr="00067855">
        <w:rPr>
          <w:rFonts w:eastAsia="Times New Roman" w:cstheme="minorHAnsi"/>
          <w:lang w:val="en-PH"/>
        </w:rPr>
        <w:t>: The GFSC considers the specific features of the virtual asset, such as its functionality, use case, and underlying technology. The GFSC also considers the purpose for which the virtual asset is used, such as whether it is used as a means of payment, a store of value, or a unit of account.</w:t>
      </w:r>
    </w:p>
    <w:p w14:paraId="29CD1DB6" w14:textId="77777777" w:rsidR="00495A68" w:rsidRPr="00067855" w:rsidRDefault="00495A68" w:rsidP="00F5053F">
      <w:pPr>
        <w:pStyle w:val="ListParagraph"/>
        <w:spacing w:after="0" w:line="240" w:lineRule="auto"/>
        <w:ind w:left="1080"/>
        <w:jc w:val="both"/>
        <w:rPr>
          <w:rFonts w:eastAsia="Times New Roman" w:cstheme="minorHAnsi"/>
          <w:lang w:val="en-PH"/>
        </w:rPr>
      </w:pPr>
    </w:p>
    <w:p w14:paraId="56DA69B6" w14:textId="77777777" w:rsidR="00067855" w:rsidRDefault="00067855" w:rsidP="00F5053F">
      <w:pPr>
        <w:pStyle w:val="ListParagraph"/>
        <w:numPr>
          <w:ilvl w:val="0"/>
          <w:numId w:val="44"/>
        </w:numPr>
        <w:spacing w:after="0" w:line="240" w:lineRule="auto"/>
        <w:jc w:val="both"/>
        <w:rPr>
          <w:rFonts w:eastAsia="Times New Roman" w:cstheme="minorHAnsi"/>
          <w:lang w:val="en-PH"/>
        </w:rPr>
      </w:pPr>
      <w:r w:rsidRPr="00067855">
        <w:rPr>
          <w:rFonts w:eastAsia="Times New Roman" w:cstheme="minorHAnsi"/>
          <w:u w:val="single"/>
          <w:lang w:val="en-PH"/>
        </w:rPr>
        <w:t>The rights and obligations attached to the virtual asset</w:t>
      </w:r>
      <w:r w:rsidRPr="00067855">
        <w:rPr>
          <w:rFonts w:eastAsia="Times New Roman" w:cstheme="minorHAnsi"/>
          <w:lang w:val="en-PH"/>
        </w:rPr>
        <w:t>: The GFSC considers the rights and obligations that are attached to the virtual asset, such as whether it provides its holder with ownership rights, voting rights, or an entitlement to receive dividends.</w:t>
      </w:r>
    </w:p>
    <w:p w14:paraId="4CFF5CC7" w14:textId="77777777" w:rsidR="00495A68" w:rsidRPr="00495A68" w:rsidRDefault="00495A68" w:rsidP="00F5053F">
      <w:pPr>
        <w:spacing w:after="0" w:line="240" w:lineRule="auto"/>
        <w:jc w:val="both"/>
        <w:rPr>
          <w:rFonts w:eastAsia="Times New Roman" w:cstheme="minorHAnsi"/>
          <w:lang w:val="en-PH"/>
        </w:rPr>
      </w:pPr>
    </w:p>
    <w:p w14:paraId="14164E53" w14:textId="77777777" w:rsidR="00067855" w:rsidRDefault="00067855" w:rsidP="00F5053F">
      <w:pPr>
        <w:pStyle w:val="ListParagraph"/>
        <w:numPr>
          <w:ilvl w:val="0"/>
          <w:numId w:val="44"/>
        </w:numPr>
        <w:spacing w:after="0" w:line="240" w:lineRule="auto"/>
        <w:jc w:val="both"/>
        <w:rPr>
          <w:rFonts w:eastAsia="Times New Roman" w:cstheme="minorHAnsi"/>
          <w:lang w:val="en-PH"/>
        </w:rPr>
      </w:pPr>
      <w:r w:rsidRPr="00067855">
        <w:rPr>
          <w:rFonts w:eastAsia="Times New Roman" w:cstheme="minorHAnsi"/>
          <w:u w:val="single"/>
          <w:lang w:val="en-PH"/>
        </w:rPr>
        <w:t>The marketing and distribution of the virtual asset</w:t>
      </w:r>
      <w:r w:rsidRPr="00067855">
        <w:rPr>
          <w:rFonts w:eastAsia="Times New Roman" w:cstheme="minorHAnsi"/>
          <w:lang w:val="en-PH"/>
        </w:rPr>
        <w:t>: The GFSC considers how the virtual asset is marketed and distributed, such as whether it is offered to the public or targeted at specific investors.</w:t>
      </w:r>
    </w:p>
    <w:p w14:paraId="553EE5A5" w14:textId="77777777" w:rsidR="00495A68" w:rsidRPr="00495A68" w:rsidRDefault="00495A68" w:rsidP="00F5053F">
      <w:pPr>
        <w:spacing w:after="0" w:line="240" w:lineRule="auto"/>
        <w:jc w:val="both"/>
        <w:rPr>
          <w:rFonts w:eastAsia="Times New Roman" w:cstheme="minorHAnsi"/>
          <w:lang w:val="en-PH"/>
        </w:rPr>
      </w:pPr>
    </w:p>
    <w:p w14:paraId="36C78C83" w14:textId="77777777" w:rsidR="00067855" w:rsidRDefault="00067855" w:rsidP="00F5053F">
      <w:pPr>
        <w:pStyle w:val="ListParagraph"/>
        <w:numPr>
          <w:ilvl w:val="0"/>
          <w:numId w:val="44"/>
        </w:numPr>
        <w:spacing w:after="0" w:line="240" w:lineRule="auto"/>
        <w:jc w:val="both"/>
        <w:rPr>
          <w:rFonts w:eastAsia="Times New Roman" w:cstheme="minorHAnsi"/>
          <w:lang w:val="en-PH"/>
        </w:rPr>
      </w:pPr>
      <w:r w:rsidRPr="00067855">
        <w:rPr>
          <w:rFonts w:eastAsia="Times New Roman" w:cstheme="minorHAnsi"/>
          <w:u w:val="single"/>
          <w:lang w:val="en-PH"/>
        </w:rPr>
        <w:t>The regulatory status of the issuer</w:t>
      </w:r>
      <w:r w:rsidRPr="00067855">
        <w:rPr>
          <w:rFonts w:eastAsia="Times New Roman" w:cstheme="minorHAnsi"/>
          <w:lang w:val="en-PH"/>
        </w:rPr>
        <w:t>: The GFSC considers the regulatory status of the issuer of the virtual asset, such as whether it is authorised or licensed by the GFSC or another regulatory authority.</w:t>
      </w:r>
    </w:p>
    <w:p w14:paraId="48246C29" w14:textId="77777777" w:rsidR="00495A68" w:rsidRPr="00495A68" w:rsidRDefault="00495A68" w:rsidP="00495A68">
      <w:pPr>
        <w:spacing w:after="0" w:line="240" w:lineRule="auto"/>
        <w:jc w:val="both"/>
        <w:rPr>
          <w:rFonts w:eastAsia="Times New Roman" w:cstheme="minorHAnsi"/>
          <w:lang w:val="en-PH"/>
        </w:rPr>
      </w:pPr>
    </w:p>
    <w:p w14:paraId="20664692" w14:textId="77777777" w:rsidR="00067855" w:rsidRDefault="00067855" w:rsidP="003427DB">
      <w:pPr>
        <w:pStyle w:val="Heading2"/>
      </w:pPr>
      <w:bookmarkStart w:id="8" w:name="_Toc195261849"/>
      <w:r w:rsidRPr="00067855">
        <w:t>Are stablecoins and NFTs regulated in Gibraltar?</w:t>
      </w:r>
      <w:bookmarkEnd w:id="8"/>
    </w:p>
    <w:p w14:paraId="05705211" w14:textId="77777777" w:rsidR="00495A68" w:rsidRPr="00067855" w:rsidRDefault="00495A68" w:rsidP="00067855">
      <w:pPr>
        <w:spacing w:after="0" w:line="240" w:lineRule="auto"/>
        <w:ind w:left="360"/>
        <w:jc w:val="both"/>
        <w:rPr>
          <w:rFonts w:eastAsia="Times New Roman" w:cstheme="minorHAnsi"/>
          <w:u w:val="single"/>
          <w:lang w:val="en-PH"/>
        </w:rPr>
      </w:pPr>
    </w:p>
    <w:p w14:paraId="0EAE25BC" w14:textId="77777777" w:rsidR="00067855" w:rsidRDefault="00067855" w:rsidP="00067855">
      <w:pPr>
        <w:spacing w:after="0" w:line="240" w:lineRule="auto"/>
        <w:ind w:left="360"/>
        <w:jc w:val="both"/>
        <w:rPr>
          <w:rFonts w:eastAsia="Times New Roman" w:cstheme="minorHAnsi"/>
          <w:lang w:val="en-PH"/>
        </w:rPr>
      </w:pPr>
      <w:r w:rsidRPr="00067855">
        <w:rPr>
          <w:rFonts w:eastAsia="Times New Roman" w:cstheme="minorHAnsi"/>
          <w:lang w:val="en-PH"/>
        </w:rPr>
        <w:t>In Gibraltar, the regulation of stablecoins and NFTs depends on their specific characteristics and the purpose for which they are used.</w:t>
      </w:r>
    </w:p>
    <w:p w14:paraId="1484892B" w14:textId="77777777" w:rsidR="00495A68" w:rsidRPr="00067855" w:rsidRDefault="00495A68" w:rsidP="00067855">
      <w:pPr>
        <w:spacing w:after="0" w:line="240" w:lineRule="auto"/>
        <w:ind w:left="360"/>
        <w:jc w:val="both"/>
        <w:rPr>
          <w:rFonts w:eastAsia="Times New Roman" w:cstheme="minorHAnsi"/>
          <w:lang w:val="en-PH"/>
        </w:rPr>
      </w:pPr>
    </w:p>
    <w:p w14:paraId="49EA56D7" w14:textId="77777777" w:rsidR="00067855" w:rsidRDefault="00067855" w:rsidP="00067855">
      <w:pPr>
        <w:spacing w:after="0" w:line="240" w:lineRule="auto"/>
        <w:ind w:left="360"/>
        <w:jc w:val="both"/>
        <w:rPr>
          <w:rFonts w:eastAsia="Times New Roman" w:cstheme="minorHAnsi"/>
          <w:lang w:val="en-PH"/>
        </w:rPr>
      </w:pPr>
      <w:r w:rsidRPr="00067855">
        <w:rPr>
          <w:rFonts w:eastAsia="Times New Roman" w:cstheme="minorHAnsi"/>
          <w:lang w:val="en-PH"/>
        </w:rPr>
        <w:t>Stablecoins are a type of virtual asset that is designed to maintain a stable value relative to a specific asset or basket of assets. NFTs are a type of virtual asset that represents ownership of a unique item or piece of content, such as a work of art or collectible.</w:t>
      </w:r>
    </w:p>
    <w:p w14:paraId="760AC37E" w14:textId="77777777" w:rsidR="00495A68" w:rsidRPr="00067855" w:rsidRDefault="00495A68" w:rsidP="00067855">
      <w:pPr>
        <w:spacing w:after="0" w:line="240" w:lineRule="auto"/>
        <w:ind w:left="360"/>
        <w:jc w:val="both"/>
        <w:rPr>
          <w:rFonts w:eastAsia="Times New Roman" w:cstheme="minorHAnsi"/>
          <w:lang w:val="en-PH"/>
        </w:rPr>
      </w:pPr>
    </w:p>
    <w:p w14:paraId="3E126320" w14:textId="77777777" w:rsidR="00067855" w:rsidRDefault="00067855" w:rsidP="00067855">
      <w:pPr>
        <w:spacing w:after="0" w:line="240" w:lineRule="auto"/>
        <w:ind w:left="360"/>
        <w:jc w:val="both"/>
        <w:rPr>
          <w:rFonts w:eastAsia="Times New Roman" w:cstheme="minorHAnsi"/>
          <w:lang w:val="en-PH"/>
        </w:rPr>
      </w:pPr>
      <w:r w:rsidRPr="00067855">
        <w:rPr>
          <w:rFonts w:eastAsia="Times New Roman" w:cstheme="minorHAnsi"/>
          <w:lang w:val="en-PH"/>
        </w:rPr>
        <w:t xml:space="preserve">Stablecoins and NFTs are types of virtual assets that are subject to the GFSC's general approach to the regulation of virtual assets in Gibraltar. While the GFSC has not issued any specific guidance on the regulation of stablecoins or NFTs, they may be classified as securities or other regulated financial instruments if they meet the relevant criteria. The GFSC assesses virtual assets, including stablecoins and NFTs, on a case-by-case basis to determine their regulatory status, </w:t>
      </w:r>
      <w:proofErr w:type="gramStart"/>
      <w:r w:rsidRPr="00067855">
        <w:rPr>
          <w:rFonts w:eastAsia="Times New Roman" w:cstheme="minorHAnsi"/>
          <w:lang w:val="en-PH"/>
        </w:rPr>
        <w:t>taking into account</w:t>
      </w:r>
      <w:proofErr w:type="gramEnd"/>
      <w:r w:rsidRPr="00067855">
        <w:rPr>
          <w:rFonts w:eastAsia="Times New Roman" w:cstheme="minorHAnsi"/>
          <w:lang w:val="en-PH"/>
        </w:rPr>
        <w:t xml:space="preserve"> various factors such as their specific features, the rights and obligations attached to them, and the purpose for which they are used.</w:t>
      </w:r>
    </w:p>
    <w:p w14:paraId="4AA34E17" w14:textId="77777777" w:rsidR="00495A68" w:rsidRPr="00067855" w:rsidRDefault="00495A68" w:rsidP="00067855">
      <w:pPr>
        <w:spacing w:after="0" w:line="240" w:lineRule="auto"/>
        <w:ind w:left="360"/>
        <w:jc w:val="both"/>
        <w:rPr>
          <w:rFonts w:eastAsia="Times New Roman" w:cstheme="minorHAnsi"/>
          <w:lang w:val="en-PH"/>
        </w:rPr>
      </w:pPr>
    </w:p>
    <w:p w14:paraId="6271A77A" w14:textId="77777777" w:rsidR="00067855" w:rsidRDefault="00067855" w:rsidP="003427DB">
      <w:pPr>
        <w:pStyle w:val="Heading2"/>
      </w:pPr>
      <w:bookmarkStart w:id="9" w:name="_Toc195261850"/>
      <w:r w:rsidRPr="00067855">
        <w:t>Are decentralised finance (DeFi) activities (e.g. lending virtual assets) regulated in Gibraltar?</w:t>
      </w:r>
      <w:bookmarkEnd w:id="9"/>
    </w:p>
    <w:p w14:paraId="37FC4B00" w14:textId="77777777" w:rsidR="00495A68" w:rsidRPr="00067855" w:rsidRDefault="00495A68" w:rsidP="00067855">
      <w:pPr>
        <w:spacing w:after="0" w:line="240" w:lineRule="auto"/>
        <w:ind w:left="360"/>
        <w:jc w:val="both"/>
        <w:rPr>
          <w:rFonts w:eastAsia="Times New Roman" w:cstheme="minorHAnsi"/>
          <w:u w:val="single"/>
          <w:lang w:val="en-PH"/>
        </w:rPr>
      </w:pPr>
    </w:p>
    <w:p w14:paraId="3D32DFE4" w14:textId="77777777" w:rsidR="00067855" w:rsidRDefault="00067855" w:rsidP="00067855">
      <w:pPr>
        <w:spacing w:after="0" w:line="240" w:lineRule="auto"/>
        <w:ind w:left="360"/>
        <w:jc w:val="both"/>
        <w:rPr>
          <w:rFonts w:eastAsia="Times New Roman" w:cstheme="minorHAnsi"/>
          <w:lang w:val="en-PH"/>
        </w:rPr>
      </w:pPr>
      <w:r w:rsidRPr="00067855">
        <w:rPr>
          <w:rFonts w:eastAsia="Times New Roman" w:cstheme="minorHAnsi"/>
          <w:lang w:val="en-PH"/>
        </w:rPr>
        <w:t xml:space="preserve">DeFi activities, such as lending virtual assets, may be regulated in Gibraltar under the Financial Services (Distributed Ledger Technology Providers) Regulations 2020. However, it's important to note </w:t>
      </w:r>
      <w:r w:rsidRPr="00067855">
        <w:rPr>
          <w:rFonts w:eastAsia="Times New Roman" w:cstheme="minorHAnsi"/>
          <w:lang w:val="en-PH"/>
        </w:rPr>
        <w:lastRenderedPageBreak/>
        <w:t>that the regulations do not specifically mention DeFi activities, but rather apply to DLT providers that use DLT to store or transfer value belonging to others.</w:t>
      </w:r>
    </w:p>
    <w:p w14:paraId="044484A0" w14:textId="77777777" w:rsidR="00495A68" w:rsidRPr="00067855" w:rsidRDefault="00495A68" w:rsidP="00067855">
      <w:pPr>
        <w:spacing w:after="0" w:line="240" w:lineRule="auto"/>
        <w:ind w:left="360"/>
        <w:jc w:val="both"/>
        <w:rPr>
          <w:rFonts w:eastAsia="Times New Roman" w:cstheme="minorHAnsi"/>
          <w:lang w:val="en-PH"/>
        </w:rPr>
      </w:pPr>
    </w:p>
    <w:p w14:paraId="63C40F3C" w14:textId="77777777" w:rsidR="00067855" w:rsidRDefault="00067855" w:rsidP="00067855">
      <w:pPr>
        <w:spacing w:after="0" w:line="240" w:lineRule="auto"/>
        <w:ind w:left="360"/>
        <w:jc w:val="both"/>
        <w:rPr>
          <w:rFonts w:eastAsia="Times New Roman" w:cstheme="minorHAnsi"/>
          <w:lang w:val="en-PH"/>
        </w:rPr>
      </w:pPr>
      <w:r w:rsidRPr="00067855">
        <w:rPr>
          <w:rFonts w:eastAsia="Times New Roman" w:cstheme="minorHAnsi"/>
          <w:lang w:val="en-PH"/>
        </w:rPr>
        <w:t xml:space="preserve">Under the Financial Services (Distributed Ledger Technology Providers) Regulations 2020, any person who wishes to provide DLT services, including DeFi activities, must apply for permission to carry out DLT Provider's business under the FSA. The application process involves </w:t>
      </w:r>
      <w:proofErr w:type="gramStart"/>
      <w:r w:rsidRPr="00067855">
        <w:rPr>
          <w:rFonts w:eastAsia="Times New Roman" w:cstheme="minorHAnsi"/>
          <w:lang w:val="en-PH"/>
        </w:rPr>
        <w:t>submitting an application</w:t>
      </w:r>
      <w:proofErr w:type="gramEnd"/>
      <w:r w:rsidRPr="00067855">
        <w:rPr>
          <w:rFonts w:eastAsia="Times New Roman" w:cstheme="minorHAnsi"/>
          <w:lang w:val="en-PH"/>
        </w:rPr>
        <w:t xml:space="preserve"> assessment request to the GFSC along with relevant documents and fees. The GFSC will then assess the nature and complexity of the proposed business model and inform the applicant of any steps that must be taken before applying for permission.</w:t>
      </w:r>
    </w:p>
    <w:p w14:paraId="5669CB56" w14:textId="77777777" w:rsidR="00495A68" w:rsidRPr="00067855" w:rsidRDefault="00495A68" w:rsidP="00067855">
      <w:pPr>
        <w:spacing w:after="0" w:line="240" w:lineRule="auto"/>
        <w:ind w:left="360"/>
        <w:jc w:val="both"/>
        <w:rPr>
          <w:rFonts w:eastAsia="Times New Roman" w:cstheme="minorHAnsi"/>
          <w:lang w:val="en-PH"/>
        </w:rPr>
      </w:pPr>
    </w:p>
    <w:p w14:paraId="73894FBA" w14:textId="77777777" w:rsidR="00067855" w:rsidRDefault="00067855" w:rsidP="00067855">
      <w:pPr>
        <w:spacing w:after="0" w:line="240" w:lineRule="auto"/>
        <w:ind w:left="360"/>
        <w:jc w:val="both"/>
        <w:rPr>
          <w:rFonts w:eastAsia="Times New Roman" w:cstheme="minorHAnsi"/>
          <w:lang w:val="en-PH"/>
        </w:rPr>
      </w:pPr>
      <w:r w:rsidRPr="00067855">
        <w:rPr>
          <w:rFonts w:eastAsia="Times New Roman" w:cstheme="minorHAnsi"/>
          <w:lang w:val="en-PH"/>
        </w:rPr>
        <w:t>Once authorised, DLT Providers must comply with certain ongoing obligations, such as maintaining adequate financial and non-financial resources, implementing appropriate risk management systems, and complying with anti-money laundering and counter-terrorist financing requirements. DLT Providers must also adhere to the nine regulatory principles given in the regulations, which include principles such as acting with honesty and integrity, maintaining adequate IT systems and security, and protecting client assets.</w:t>
      </w:r>
    </w:p>
    <w:p w14:paraId="3227181B" w14:textId="77777777" w:rsidR="00495A68" w:rsidRPr="00067855" w:rsidRDefault="00495A68" w:rsidP="00067855">
      <w:pPr>
        <w:spacing w:after="0" w:line="240" w:lineRule="auto"/>
        <w:ind w:left="360"/>
        <w:jc w:val="both"/>
        <w:rPr>
          <w:rFonts w:eastAsia="Times New Roman" w:cstheme="minorHAnsi"/>
          <w:lang w:val="en-PH"/>
        </w:rPr>
      </w:pPr>
    </w:p>
    <w:p w14:paraId="75C49817" w14:textId="77777777" w:rsidR="00067855" w:rsidRDefault="00067855" w:rsidP="00067855">
      <w:pPr>
        <w:spacing w:after="0" w:line="240" w:lineRule="auto"/>
        <w:ind w:left="360"/>
        <w:jc w:val="both"/>
        <w:rPr>
          <w:rFonts w:eastAsia="Times New Roman" w:cstheme="minorHAnsi"/>
          <w:lang w:val="en-PH"/>
        </w:rPr>
      </w:pPr>
      <w:r w:rsidRPr="00067855">
        <w:rPr>
          <w:rFonts w:eastAsia="Times New Roman" w:cstheme="minorHAnsi"/>
          <w:lang w:val="en-PH"/>
        </w:rPr>
        <w:t>The GFSC is responsible for supervising and enforcing compliance with the regulations. The GFSC has the power to issue directions and impose administrative penalties if a DLT Provider violates the regulations. The GFSC may also suspend or revoke a DLT Provider's authorisation if it fails to comply with the regulatory requirement.</w:t>
      </w:r>
    </w:p>
    <w:p w14:paraId="1851B3BD" w14:textId="77777777" w:rsidR="00495A68" w:rsidRPr="00067855" w:rsidRDefault="00495A68" w:rsidP="00067855">
      <w:pPr>
        <w:spacing w:after="0" w:line="240" w:lineRule="auto"/>
        <w:ind w:left="360"/>
        <w:jc w:val="both"/>
        <w:rPr>
          <w:rFonts w:eastAsia="Times New Roman" w:cstheme="minorHAnsi"/>
          <w:lang w:val="en-PH"/>
        </w:rPr>
      </w:pPr>
    </w:p>
    <w:p w14:paraId="120B9E93" w14:textId="77777777" w:rsidR="00067855" w:rsidRDefault="00067855" w:rsidP="003427DB">
      <w:pPr>
        <w:pStyle w:val="Heading2"/>
      </w:pPr>
      <w:bookmarkStart w:id="10" w:name="_Toc195261851"/>
      <w:r w:rsidRPr="00067855">
        <w:t>Are there any restrictions on issuing or publicly offering virtual assets in Gibraltar?</w:t>
      </w:r>
      <w:bookmarkEnd w:id="10"/>
    </w:p>
    <w:p w14:paraId="06018B33" w14:textId="77777777" w:rsidR="00495A68" w:rsidRPr="00067855" w:rsidRDefault="00495A68" w:rsidP="00067855">
      <w:pPr>
        <w:spacing w:after="0" w:line="240" w:lineRule="auto"/>
        <w:ind w:left="360"/>
        <w:jc w:val="both"/>
        <w:rPr>
          <w:rFonts w:eastAsia="Times New Roman" w:cstheme="minorHAnsi"/>
          <w:u w:val="single"/>
          <w:lang w:val="en-PH"/>
        </w:rPr>
      </w:pPr>
    </w:p>
    <w:p w14:paraId="62CF1663" w14:textId="77777777" w:rsidR="00067855" w:rsidRDefault="00067855" w:rsidP="00067855">
      <w:pPr>
        <w:spacing w:after="0" w:line="240" w:lineRule="auto"/>
        <w:ind w:left="360"/>
        <w:jc w:val="both"/>
        <w:rPr>
          <w:rFonts w:eastAsia="Times New Roman" w:cstheme="minorHAnsi"/>
          <w:lang w:val="en-PH"/>
        </w:rPr>
      </w:pPr>
      <w:r w:rsidRPr="00067855">
        <w:rPr>
          <w:rFonts w:eastAsia="Times New Roman" w:cstheme="minorHAnsi"/>
          <w:lang w:val="en-PH"/>
        </w:rPr>
        <w:t>The FSA and the Financial Services (Distributed Ledger Technology Providers) Regulations 2020 in Gibraltar establish a comprehensive regulatory framework for the issuance and public offering of virtual assets. Here are the key requirements and restrictions that apply to individuals and entities engaging in such activities:</w:t>
      </w:r>
    </w:p>
    <w:p w14:paraId="092A7273" w14:textId="77777777" w:rsidR="00495A68" w:rsidRPr="00067855" w:rsidRDefault="00495A68" w:rsidP="00067855">
      <w:pPr>
        <w:spacing w:after="0" w:line="240" w:lineRule="auto"/>
        <w:ind w:left="360"/>
        <w:jc w:val="both"/>
        <w:rPr>
          <w:rFonts w:eastAsia="Times New Roman" w:cstheme="minorHAnsi"/>
          <w:lang w:val="en-PH"/>
        </w:rPr>
      </w:pPr>
    </w:p>
    <w:p w14:paraId="3D9ABB84" w14:textId="77777777" w:rsidR="00067855" w:rsidRDefault="00067855" w:rsidP="00B367C3">
      <w:pPr>
        <w:pStyle w:val="ListParagraph"/>
        <w:numPr>
          <w:ilvl w:val="0"/>
          <w:numId w:val="45"/>
        </w:numPr>
        <w:spacing w:after="0" w:line="240" w:lineRule="auto"/>
        <w:jc w:val="both"/>
        <w:rPr>
          <w:rFonts w:eastAsia="Times New Roman" w:cstheme="minorHAnsi"/>
          <w:lang w:val="en-PH"/>
        </w:rPr>
      </w:pPr>
      <w:r w:rsidRPr="00067855">
        <w:rPr>
          <w:rFonts w:eastAsia="Times New Roman" w:cstheme="minorHAnsi"/>
          <w:u w:val="single"/>
          <w:lang w:val="en-PH"/>
        </w:rPr>
        <w:t>Authorisation requirement</w:t>
      </w:r>
      <w:r w:rsidRPr="00067855">
        <w:rPr>
          <w:rFonts w:eastAsia="Times New Roman" w:cstheme="minorHAnsi"/>
          <w:lang w:val="en-PH"/>
        </w:rPr>
        <w:t xml:space="preserve">: Any person who wishes to issue or publicly offer virtual assets in or from Gibraltar must obtain authorisation from the GFSC as a DLT provider. The authorisation process involves </w:t>
      </w:r>
      <w:proofErr w:type="gramStart"/>
      <w:r w:rsidRPr="00067855">
        <w:rPr>
          <w:rFonts w:eastAsia="Times New Roman" w:cstheme="minorHAnsi"/>
          <w:lang w:val="en-PH"/>
        </w:rPr>
        <w:t>submitting an application</w:t>
      </w:r>
      <w:proofErr w:type="gramEnd"/>
      <w:r w:rsidRPr="00067855">
        <w:rPr>
          <w:rFonts w:eastAsia="Times New Roman" w:cstheme="minorHAnsi"/>
          <w:lang w:val="en-PH"/>
        </w:rPr>
        <w:t xml:space="preserve"> assessment request to the GFSC and providing relevant documents and fees. The GFSC will assess the proposed business model, products and services to be offered, and will provide the applicant with an initial assessment notice informing them of any required steps.</w:t>
      </w:r>
    </w:p>
    <w:p w14:paraId="7C7529B7" w14:textId="77777777" w:rsidR="00495A68" w:rsidRPr="00495A68" w:rsidRDefault="00495A68" w:rsidP="00B367C3">
      <w:pPr>
        <w:spacing w:after="0" w:line="240" w:lineRule="auto"/>
        <w:ind w:left="720"/>
        <w:jc w:val="both"/>
        <w:rPr>
          <w:rFonts w:eastAsia="Times New Roman" w:cstheme="minorHAnsi"/>
          <w:lang w:val="en-PH"/>
        </w:rPr>
      </w:pPr>
    </w:p>
    <w:p w14:paraId="741891D7" w14:textId="77777777" w:rsidR="00067855" w:rsidRDefault="00067855" w:rsidP="00B367C3">
      <w:pPr>
        <w:pStyle w:val="ListParagraph"/>
        <w:numPr>
          <w:ilvl w:val="0"/>
          <w:numId w:val="45"/>
        </w:numPr>
        <w:spacing w:after="0" w:line="240" w:lineRule="auto"/>
        <w:jc w:val="both"/>
        <w:rPr>
          <w:rFonts w:eastAsia="Times New Roman" w:cstheme="minorHAnsi"/>
          <w:lang w:val="en-PH"/>
        </w:rPr>
      </w:pPr>
      <w:r w:rsidRPr="00067855">
        <w:rPr>
          <w:rFonts w:eastAsia="Times New Roman" w:cstheme="minorHAnsi"/>
          <w:u w:val="single"/>
          <w:lang w:val="en-PH"/>
        </w:rPr>
        <w:t>Regulatory principles</w:t>
      </w:r>
      <w:r w:rsidRPr="00067855">
        <w:rPr>
          <w:rFonts w:eastAsia="Times New Roman" w:cstheme="minorHAnsi"/>
          <w:lang w:val="en-PH"/>
        </w:rPr>
        <w:t>: DLT providers that are authorised to issue or offer virtual assets must comply with the 9 regulatory principles given in the regulations, including conducting business with honesty and integrity, paying due regard to the interests and needs of all customers, and maintaining adequate financial and non-financial resources.</w:t>
      </w:r>
    </w:p>
    <w:p w14:paraId="3C4605CE" w14:textId="77777777" w:rsidR="00495A68" w:rsidRPr="00495A68" w:rsidRDefault="00495A68" w:rsidP="00B367C3">
      <w:pPr>
        <w:spacing w:after="0" w:line="240" w:lineRule="auto"/>
        <w:jc w:val="both"/>
        <w:rPr>
          <w:rFonts w:eastAsia="Times New Roman" w:cstheme="minorHAnsi"/>
          <w:lang w:val="en-PH"/>
        </w:rPr>
      </w:pPr>
    </w:p>
    <w:p w14:paraId="6D9FCB9B" w14:textId="77777777" w:rsidR="00067855" w:rsidRDefault="00067855" w:rsidP="00B367C3">
      <w:pPr>
        <w:pStyle w:val="ListParagraph"/>
        <w:numPr>
          <w:ilvl w:val="0"/>
          <w:numId w:val="45"/>
        </w:numPr>
        <w:spacing w:after="0" w:line="240" w:lineRule="auto"/>
        <w:jc w:val="both"/>
        <w:rPr>
          <w:rFonts w:eastAsia="Times New Roman" w:cstheme="minorHAnsi"/>
          <w:lang w:val="en-PH"/>
        </w:rPr>
      </w:pPr>
      <w:r w:rsidRPr="00067855">
        <w:rPr>
          <w:rFonts w:eastAsia="Times New Roman" w:cstheme="minorHAnsi"/>
          <w:u w:val="single"/>
          <w:lang w:val="en-PH"/>
        </w:rPr>
        <w:t>General prohibition</w:t>
      </w:r>
      <w:r w:rsidRPr="00067855">
        <w:rPr>
          <w:rFonts w:eastAsia="Times New Roman" w:cstheme="minorHAnsi"/>
          <w:lang w:val="en-PH"/>
        </w:rPr>
        <w:t>: It is a criminal offense to carry out regulated activities related to virtual assets without proper authorisation from the GFSC. This includes issuing or publicly offering virtual assets without authorisation.</w:t>
      </w:r>
    </w:p>
    <w:p w14:paraId="01DBA589" w14:textId="77777777" w:rsidR="00495A68" w:rsidRPr="00495A68" w:rsidRDefault="00495A68" w:rsidP="00B367C3">
      <w:pPr>
        <w:spacing w:after="0" w:line="240" w:lineRule="auto"/>
        <w:jc w:val="both"/>
        <w:rPr>
          <w:rFonts w:eastAsia="Times New Roman" w:cstheme="minorHAnsi"/>
          <w:lang w:val="en-PH"/>
        </w:rPr>
      </w:pPr>
    </w:p>
    <w:p w14:paraId="2652E5BB" w14:textId="77777777" w:rsidR="00067855" w:rsidRDefault="00067855" w:rsidP="00B367C3">
      <w:pPr>
        <w:pStyle w:val="ListParagraph"/>
        <w:numPr>
          <w:ilvl w:val="0"/>
          <w:numId w:val="45"/>
        </w:numPr>
        <w:spacing w:after="0" w:line="240" w:lineRule="auto"/>
        <w:jc w:val="both"/>
        <w:rPr>
          <w:rFonts w:eastAsia="Times New Roman" w:cstheme="minorHAnsi"/>
          <w:lang w:val="en-PH"/>
        </w:rPr>
      </w:pPr>
      <w:r w:rsidRPr="00067855">
        <w:rPr>
          <w:rFonts w:eastAsia="Times New Roman" w:cstheme="minorHAnsi"/>
          <w:u w:val="single"/>
          <w:lang w:val="en-PH"/>
        </w:rPr>
        <w:t>Financial promotion restrictions</w:t>
      </w:r>
      <w:r w:rsidRPr="00067855">
        <w:rPr>
          <w:rFonts w:eastAsia="Times New Roman" w:cstheme="minorHAnsi"/>
          <w:lang w:val="en-PH"/>
        </w:rPr>
        <w:t>: The FSA imposes restrictions on financial promotions related to virtual assets. Any financial promotion must be clear, fair, and not misleading, and must comply with relevant GFSC rules and guidance.</w:t>
      </w:r>
    </w:p>
    <w:p w14:paraId="6FA56597" w14:textId="77777777" w:rsidR="00495A68" w:rsidRPr="00495A68" w:rsidRDefault="00495A68" w:rsidP="00B367C3">
      <w:pPr>
        <w:spacing w:after="0" w:line="240" w:lineRule="auto"/>
        <w:jc w:val="both"/>
        <w:rPr>
          <w:rFonts w:eastAsia="Times New Roman" w:cstheme="minorHAnsi"/>
          <w:lang w:val="en-PH"/>
        </w:rPr>
      </w:pPr>
    </w:p>
    <w:p w14:paraId="55440A7A" w14:textId="77777777" w:rsidR="00067855" w:rsidRDefault="00067855" w:rsidP="00B367C3">
      <w:pPr>
        <w:pStyle w:val="ListParagraph"/>
        <w:numPr>
          <w:ilvl w:val="0"/>
          <w:numId w:val="45"/>
        </w:numPr>
        <w:spacing w:after="0" w:line="240" w:lineRule="auto"/>
        <w:jc w:val="both"/>
        <w:rPr>
          <w:rFonts w:eastAsia="Times New Roman" w:cstheme="minorHAnsi"/>
          <w:lang w:val="en-PH"/>
        </w:rPr>
      </w:pPr>
      <w:r w:rsidRPr="00067855">
        <w:rPr>
          <w:rFonts w:eastAsia="Times New Roman" w:cstheme="minorHAnsi"/>
          <w:u w:val="single"/>
          <w:lang w:val="en-PH"/>
        </w:rPr>
        <w:t>AML/CFT compliance</w:t>
      </w:r>
      <w:r w:rsidRPr="00067855">
        <w:rPr>
          <w:rFonts w:eastAsia="Times New Roman" w:cstheme="minorHAnsi"/>
          <w:lang w:val="en-PH"/>
        </w:rPr>
        <w:t>: DLT providers that issue or offer virtual assets must comply with AML/CFT regulations. This includes conducting customer due diligence, monitoring transactions, and reporting suspicious activity to the relevant authorities.</w:t>
      </w:r>
    </w:p>
    <w:p w14:paraId="6ECCD184" w14:textId="77777777" w:rsidR="00495A68" w:rsidRPr="00495A68" w:rsidRDefault="00495A68" w:rsidP="00B367C3">
      <w:pPr>
        <w:spacing w:after="0" w:line="240" w:lineRule="auto"/>
        <w:jc w:val="both"/>
        <w:rPr>
          <w:rFonts w:eastAsia="Times New Roman" w:cstheme="minorHAnsi"/>
          <w:lang w:val="en-PH"/>
        </w:rPr>
      </w:pPr>
    </w:p>
    <w:p w14:paraId="2E52D877" w14:textId="77777777" w:rsidR="00067855" w:rsidRDefault="00067855" w:rsidP="00B367C3">
      <w:pPr>
        <w:pStyle w:val="ListParagraph"/>
        <w:numPr>
          <w:ilvl w:val="0"/>
          <w:numId w:val="45"/>
        </w:numPr>
        <w:spacing w:after="0" w:line="240" w:lineRule="auto"/>
        <w:jc w:val="both"/>
        <w:rPr>
          <w:rFonts w:eastAsia="Times New Roman" w:cstheme="minorHAnsi"/>
          <w:lang w:val="en-PH"/>
        </w:rPr>
      </w:pPr>
      <w:r w:rsidRPr="00067855">
        <w:rPr>
          <w:rFonts w:eastAsia="Times New Roman" w:cstheme="minorHAnsi"/>
          <w:u w:val="single"/>
          <w:lang w:val="en-PH"/>
        </w:rPr>
        <w:t>Disclosure requirements</w:t>
      </w:r>
      <w:r w:rsidRPr="00067855">
        <w:rPr>
          <w:rFonts w:eastAsia="Times New Roman" w:cstheme="minorHAnsi"/>
          <w:lang w:val="en-PH"/>
        </w:rPr>
        <w:t>: DLT providers that issue or offer virtual assets must provide clear and accurate information to potential investors about the nature of the virtual asset, the risks involved, and the terms of the offer.</w:t>
      </w:r>
    </w:p>
    <w:p w14:paraId="12E3DF96" w14:textId="77777777" w:rsidR="00495A68" w:rsidRPr="00495A68" w:rsidRDefault="00495A68" w:rsidP="00B367C3">
      <w:pPr>
        <w:spacing w:after="0" w:line="240" w:lineRule="auto"/>
        <w:jc w:val="both"/>
        <w:rPr>
          <w:rFonts w:eastAsia="Times New Roman" w:cstheme="minorHAnsi"/>
          <w:lang w:val="en-PH"/>
        </w:rPr>
      </w:pPr>
    </w:p>
    <w:p w14:paraId="3B472785" w14:textId="77777777" w:rsidR="00067855" w:rsidRDefault="00067855" w:rsidP="00B367C3">
      <w:pPr>
        <w:pStyle w:val="ListParagraph"/>
        <w:numPr>
          <w:ilvl w:val="0"/>
          <w:numId w:val="45"/>
        </w:numPr>
        <w:spacing w:after="0" w:line="240" w:lineRule="auto"/>
        <w:jc w:val="both"/>
        <w:rPr>
          <w:rFonts w:eastAsia="Times New Roman" w:cstheme="minorHAnsi"/>
          <w:lang w:val="en-PH"/>
        </w:rPr>
      </w:pPr>
      <w:r w:rsidRPr="00067855">
        <w:rPr>
          <w:rFonts w:eastAsia="Times New Roman" w:cstheme="minorHAnsi"/>
          <w:u w:val="single"/>
          <w:lang w:val="en-PH"/>
        </w:rPr>
        <w:t>Ongoing obligations</w:t>
      </w:r>
      <w:r w:rsidRPr="00067855">
        <w:rPr>
          <w:rFonts w:eastAsia="Times New Roman" w:cstheme="minorHAnsi"/>
          <w:lang w:val="en-PH"/>
        </w:rPr>
        <w:t>: DLT providers that are authorised to issue or offer virtual assets must comply with ongoing regulatory obligations, such as maintaining adequate financial and non-financial resources, implementing appropriate risk management systems, and adhering to AML/CFT regulations.</w:t>
      </w:r>
    </w:p>
    <w:p w14:paraId="5E925ABD" w14:textId="77777777" w:rsidR="00495A68" w:rsidRPr="00495A68" w:rsidRDefault="00495A68" w:rsidP="00495A68">
      <w:pPr>
        <w:pStyle w:val="ListParagraph"/>
        <w:rPr>
          <w:rFonts w:eastAsia="Times New Roman" w:cstheme="minorHAnsi"/>
          <w:lang w:val="en-PH"/>
        </w:rPr>
      </w:pPr>
    </w:p>
    <w:p w14:paraId="3282CA29" w14:textId="77777777" w:rsidR="00495A68" w:rsidRPr="00495A68" w:rsidRDefault="00495A68" w:rsidP="00495A68">
      <w:pPr>
        <w:spacing w:after="0" w:line="240" w:lineRule="auto"/>
        <w:jc w:val="both"/>
        <w:rPr>
          <w:rFonts w:eastAsia="Times New Roman" w:cstheme="minorHAnsi"/>
          <w:lang w:val="en-PH"/>
        </w:rPr>
      </w:pPr>
    </w:p>
    <w:p w14:paraId="33C3EE70" w14:textId="4F8F6FF2" w:rsidR="00067855" w:rsidRDefault="00067855" w:rsidP="003427DB">
      <w:pPr>
        <w:pStyle w:val="Heading2"/>
      </w:pPr>
      <w:bookmarkStart w:id="11" w:name="_Toc195261852"/>
      <w:r w:rsidRPr="00067855">
        <w:t>Are there any exemptions to the restrictions on issuing or publicly offering of virtual assets in</w:t>
      </w:r>
      <w:r w:rsidR="002734F3">
        <w:t xml:space="preserve"> </w:t>
      </w:r>
      <w:r w:rsidRPr="00067855">
        <w:t>Gibraltar?</w:t>
      </w:r>
      <w:bookmarkEnd w:id="11"/>
    </w:p>
    <w:p w14:paraId="5F3740D3" w14:textId="77777777" w:rsidR="00495A68" w:rsidRPr="00067855" w:rsidRDefault="00495A68" w:rsidP="00067855">
      <w:pPr>
        <w:spacing w:after="0" w:line="240" w:lineRule="auto"/>
        <w:ind w:left="360"/>
        <w:jc w:val="both"/>
        <w:rPr>
          <w:rFonts w:eastAsia="Times New Roman" w:cstheme="minorHAnsi"/>
          <w:u w:val="single"/>
          <w:lang w:val="en-PH"/>
        </w:rPr>
      </w:pPr>
    </w:p>
    <w:p w14:paraId="7E9EFF59" w14:textId="77777777" w:rsidR="00067855" w:rsidRDefault="00067855" w:rsidP="00067855">
      <w:pPr>
        <w:spacing w:after="0" w:line="240" w:lineRule="auto"/>
        <w:ind w:left="360"/>
        <w:jc w:val="both"/>
        <w:rPr>
          <w:rFonts w:eastAsia="Times New Roman" w:cstheme="minorHAnsi"/>
          <w:lang w:val="en-PH"/>
        </w:rPr>
      </w:pPr>
      <w:r w:rsidRPr="00067855">
        <w:rPr>
          <w:rFonts w:eastAsia="Times New Roman" w:cstheme="minorHAnsi"/>
          <w:lang w:val="en-PH"/>
        </w:rPr>
        <w:t>Yes, there are some exemptions to the restrictions on issuing or publicly offering of virtual assets in Gibraltar. The Financial Services (Distributed Ledger Technology Providers) Regulations 2020 provide certain exemptions to the requirement to obtain authorisation as a DLT provider for the issuance or public offering of virtual assets. These exemptions include:</w:t>
      </w:r>
    </w:p>
    <w:p w14:paraId="625C3890" w14:textId="77777777" w:rsidR="00495A68" w:rsidRPr="00067855" w:rsidRDefault="00495A68" w:rsidP="00067855">
      <w:pPr>
        <w:spacing w:after="0" w:line="240" w:lineRule="auto"/>
        <w:ind w:left="360"/>
        <w:jc w:val="both"/>
        <w:rPr>
          <w:rFonts w:eastAsia="Times New Roman" w:cstheme="minorHAnsi"/>
          <w:lang w:val="en-PH"/>
        </w:rPr>
      </w:pPr>
    </w:p>
    <w:p w14:paraId="34B6F02B" w14:textId="77777777" w:rsidR="00067855" w:rsidRDefault="00067855" w:rsidP="0038469A">
      <w:pPr>
        <w:pStyle w:val="ListParagraph"/>
        <w:numPr>
          <w:ilvl w:val="0"/>
          <w:numId w:val="46"/>
        </w:numPr>
        <w:spacing w:after="0" w:line="240" w:lineRule="auto"/>
        <w:jc w:val="both"/>
        <w:rPr>
          <w:rFonts w:eastAsia="Times New Roman" w:cstheme="minorHAnsi"/>
          <w:lang w:val="en-PH"/>
        </w:rPr>
      </w:pPr>
      <w:r w:rsidRPr="00067855">
        <w:rPr>
          <w:rFonts w:eastAsia="Times New Roman" w:cstheme="minorHAnsi"/>
          <w:u w:val="single"/>
          <w:lang w:val="en-PH"/>
        </w:rPr>
        <w:t>Offers to a restricted number of persons</w:t>
      </w:r>
      <w:r w:rsidRPr="00067855">
        <w:rPr>
          <w:rFonts w:eastAsia="Times New Roman" w:cstheme="minorHAnsi"/>
          <w:lang w:val="en-PH"/>
        </w:rPr>
        <w:t>: An offer of virtual assets to a restricted number of persons (not exceeding 150) may be exempt from the requirement to obtain authorisation as a DLT provider, provided that certain conditions are met.</w:t>
      </w:r>
    </w:p>
    <w:p w14:paraId="2C6903AB" w14:textId="77777777" w:rsidR="00495A68" w:rsidRPr="00067855" w:rsidRDefault="00495A68" w:rsidP="0038469A">
      <w:pPr>
        <w:pStyle w:val="ListParagraph"/>
        <w:spacing w:after="0" w:line="240" w:lineRule="auto"/>
        <w:ind w:left="1080"/>
        <w:jc w:val="both"/>
        <w:rPr>
          <w:rFonts w:eastAsia="Times New Roman" w:cstheme="minorHAnsi"/>
          <w:lang w:val="en-PH"/>
        </w:rPr>
      </w:pPr>
    </w:p>
    <w:p w14:paraId="69287EC1" w14:textId="77777777" w:rsidR="00067855" w:rsidRDefault="00067855" w:rsidP="0038469A">
      <w:pPr>
        <w:pStyle w:val="ListParagraph"/>
        <w:numPr>
          <w:ilvl w:val="0"/>
          <w:numId w:val="46"/>
        </w:numPr>
        <w:spacing w:after="0" w:line="240" w:lineRule="auto"/>
        <w:jc w:val="both"/>
        <w:rPr>
          <w:rFonts w:eastAsia="Times New Roman" w:cstheme="minorHAnsi"/>
          <w:lang w:val="en-PH"/>
        </w:rPr>
      </w:pPr>
      <w:r w:rsidRPr="00067855">
        <w:rPr>
          <w:rFonts w:eastAsia="Times New Roman" w:cstheme="minorHAnsi"/>
          <w:u w:val="single"/>
          <w:lang w:val="en-PH"/>
        </w:rPr>
        <w:t>Offers to existing customers</w:t>
      </w:r>
      <w:r w:rsidRPr="00067855">
        <w:rPr>
          <w:rFonts w:eastAsia="Times New Roman" w:cstheme="minorHAnsi"/>
          <w:lang w:val="en-PH"/>
        </w:rPr>
        <w:t>: An offer of virtual assets to existing customers of a DLT provider, provided that certain conditions are met, may be exempt from the requirement to obtain authorisation as a DLT provider.</w:t>
      </w:r>
    </w:p>
    <w:p w14:paraId="4C5F71FE" w14:textId="77777777" w:rsidR="00495A68" w:rsidRPr="00495A68" w:rsidRDefault="00495A68" w:rsidP="0038469A">
      <w:pPr>
        <w:spacing w:after="0" w:line="240" w:lineRule="auto"/>
        <w:jc w:val="both"/>
        <w:rPr>
          <w:rFonts w:eastAsia="Times New Roman" w:cstheme="minorHAnsi"/>
          <w:lang w:val="en-PH"/>
        </w:rPr>
      </w:pPr>
    </w:p>
    <w:p w14:paraId="5193A9D9" w14:textId="77777777" w:rsidR="00067855" w:rsidRDefault="00067855" w:rsidP="0038469A">
      <w:pPr>
        <w:pStyle w:val="ListParagraph"/>
        <w:numPr>
          <w:ilvl w:val="0"/>
          <w:numId w:val="46"/>
        </w:numPr>
        <w:spacing w:after="0" w:line="240" w:lineRule="auto"/>
        <w:jc w:val="both"/>
        <w:rPr>
          <w:rFonts w:eastAsia="Times New Roman" w:cstheme="minorHAnsi"/>
          <w:lang w:val="en-PH"/>
        </w:rPr>
      </w:pPr>
      <w:r w:rsidRPr="00067855">
        <w:rPr>
          <w:rFonts w:eastAsia="Times New Roman" w:cstheme="minorHAnsi"/>
          <w:u w:val="single"/>
          <w:lang w:val="en-PH"/>
        </w:rPr>
        <w:t>Offers of virtual assets with a denomination of €100,000 or more</w:t>
      </w:r>
      <w:r w:rsidRPr="00067855">
        <w:rPr>
          <w:rFonts w:eastAsia="Times New Roman" w:cstheme="minorHAnsi"/>
          <w:lang w:val="en-PH"/>
        </w:rPr>
        <w:t>: An offer of virtual assets with a denomination of €100,000 or more, provided that certain conditions are met, may be exempt from the requirement to obtain authorisation as a DLT provider.</w:t>
      </w:r>
    </w:p>
    <w:p w14:paraId="07B8FA66" w14:textId="77777777" w:rsidR="00495A68" w:rsidRPr="00495A68" w:rsidRDefault="00495A68" w:rsidP="0038469A">
      <w:pPr>
        <w:spacing w:after="0" w:line="240" w:lineRule="auto"/>
        <w:jc w:val="both"/>
        <w:rPr>
          <w:rFonts w:eastAsia="Times New Roman" w:cstheme="minorHAnsi"/>
          <w:lang w:val="en-PH"/>
        </w:rPr>
      </w:pPr>
    </w:p>
    <w:p w14:paraId="28E7CDB7" w14:textId="77777777" w:rsidR="00067855" w:rsidRDefault="00067855" w:rsidP="0038469A">
      <w:pPr>
        <w:pStyle w:val="ListParagraph"/>
        <w:numPr>
          <w:ilvl w:val="0"/>
          <w:numId w:val="46"/>
        </w:numPr>
        <w:spacing w:after="0" w:line="240" w:lineRule="auto"/>
        <w:jc w:val="both"/>
        <w:rPr>
          <w:rFonts w:eastAsia="Times New Roman" w:cstheme="minorHAnsi"/>
          <w:lang w:val="en-PH"/>
        </w:rPr>
      </w:pPr>
      <w:r w:rsidRPr="00067855">
        <w:rPr>
          <w:rFonts w:eastAsia="Times New Roman" w:cstheme="minorHAnsi"/>
          <w:u w:val="single"/>
          <w:lang w:val="en-PH"/>
        </w:rPr>
        <w:t>Offers of virtual assets to persons outside of Gibraltar</w:t>
      </w:r>
      <w:r w:rsidRPr="00067855">
        <w:rPr>
          <w:rFonts w:eastAsia="Times New Roman" w:cstheme="minorHAnsi"/>
          <w:lang w:val="en-PH"/>
        </w:rPr>
        <w:t>: An offer of virtual assets to persons outside of Gibraltar may be exempt from the requirement to obtain authorisation as a DLT provider, provided that certain conditions are met.</w:t>
      </w:r>
    </w:p>
    <w:p w14:paraId="3A74F015" w14:textId="77777777" w:rsidR="00F17741" w:rsidRPr="00F17741" w:rsidRDefault="00F17741" w:rsidP="00F17741">
      <w:pPr>
        <w:spacing w:after="0" w:line="240" w:lineRule="auto"/>
        <w:jc w:val="both"/>
        <w:rPr>
          <w:rFonts w:eastAsia="Times New Roman" w:cstheme="minorHAnsi"/>
          <w:lang w:val="en-PH"/>
        </w:rPr>
      </w:pPr>
    </w:p>
    <w:p w14:paraId="5FCB9DD3" w14:textId="77777777" w:rsidR="00067855" w:rsidRDefault="00067855" w:rsidP="003427DB">
      <w:pPr>
        <w:pStyle w:val="Heading1"/>
      </w:pPr>
      <w:bookmarkStart w:id="12" w:name="_Toc195261853"/>
      <w:r w:rsidRPr="00067855">
        <w:t>Regulation of VASPs in Gibraltar</w:t>
      </w:r>
      <w:bookmarkEnd w:id="12"/>
    </w:p>
    <w:p w14:paraId="6EB2BEB0" w14:textId="77777777" w:rsidR="00F17741" w:rsidRPr="00067855" w:rsidRDefault="00F17741" w:rsidP="00F17741">
      <w:pPr>
        <w:spacing w:after="0" w:line="240" w:lineRule="auto"/>
        <w:ind w:left="360"/>
        <w:jc w:val="both"/>
        <w:rPr>
          <w:rFonts w:eastAsia="Times New Roman" w:cstheme="minorHAnsi"/>
          <w:b/>
          <w:bCs/>
          <w:lang w:val="en-PH"/>
        </w:rPr>
      </w:pPr>
    </w:p>
    <w:p w14:paraId="21729846" w14:textId="77777777" w:rsidR="00067855" w:rsidRDefault="00067855" w:rsidP="003427DB">
      <w:pPr>
        <w:pStyle w:val="Heading2"/>
      </w:pPr>
      <w:bookmarkStart w:id="13" w:name="_Toc195261854"/>
      <w:r w:rsidRPr="00067855">
        <w:t>Are VASPs operating in Gibraltar subject to regulation?</w:t>
      </w:r>
      <w:bookmarkEnd w:id="13"/>
      <w:r w:rsidRPr="00067855">
        <w:t> </w:t>
      </w:r>
    </w:p>
    <w:p w14:paraId="720F727A" w14:textId="77777777" w:rsidR="00F17741" w:rsidRPr="00067855" w:rsidRDefault="00F17741" w:rsidP="00067855">
      <w:pPr>
        <w:spacing w:after="0" w:line="240" w:lineRule="auto"/>
        <w:ind w:left="360"/>
        <w:jc w:val="both"/>
        <w:rPr>
          <w:rFonts w:eastAsia="Times New Roman" w:cstheme="minorHAnsi"/>
          <w:bCs/>
          <w:lang w:val="en-PH"/>
        </w:rPr>
      </w:pPr>
    </w:p>
    <w:p w14:paraId="44486921" w14:textId="77777777" w:rsidR="00067855" w:rsidRDefault="00067855" w:rsidP="00067855">
      <w:pPr>
        <w:spacing w:after="0" w:line="240" w:lineRule="auto"/>
        <w:ind w:left="360"/>
        <w:jc w:val="both"/>
        <w:rPr>
          <w:rFonts w:eastAsia="Times New Roman" w:cstheme="minorHAnsi"/>
          <w:bCs/>
          <w:lang w:val="en-PH"/>
        </w:rPr>
      </w:pPr>
      <w:r w:rsidRPr="00067855">
        <w:rPr>
          <w:rFonts w:eastAsia="Times New Roman" w:cstheme="minorHAnsi"/>
          <w:bCs/>
          <w:lang w:val="en-PH"/>
        </w:rPr>
        <w:t>Yes, VASPs operating in Gibraltar are subject to regulation under the Financial Services (Distributed Ledger Technology Providers) Regulations 2020. The regulations define VASPs as any person who, by way of business, provides one or more of the following services:</w:t>
      </w:r>
    </w:p>
    <w:p w14:paraId="1B5948F2" w14:textId="77777777" w:rsidR="00F17741" w:rsidRPr="00067855" w:rsidRDefault="00F17741" w:rsidP="00067855">
      <w:pPr>
        <w:spacing w:after="0" w:line="240" w:lineRule="auto"/>
        <w:ind w:left="360"/>
        <w:jc w:val="both"/>
        <w:rPr>
          <w:rFonts w:eastAsia="Times New Roman" w:cstheme="minorHAnsi"/>
          <w:bCs/>
          <w:lang w:val="en-PH"/>
        </w:rPr>
      </w:pPr>
    </w:p>
    <w:p w14:paraId="28F5FD91" w14:textId="77777777" w:rsidR="00067855" w:rsidRDefault="00067855" w:rsidP="00067855">
      <w:pPr>
        <w:pStyle w:val="ListParagraph"/>
        <w:numPr>
          <w:ilvl w:val="0"/>
          <w:numId w:val="54"/>
        </w:numPr>
        <w:spacing w:after="0" w:line="240" w:lineRule="auto"/>
        <w:jc w:val="both"/>
        <w:rPr>
          <w:rFonts w:eastAsia="Times New Roman" w:cstheme="minorHAnsi"/>
          <w:bCs/>
          <w:lang w:val="en-PH"/>
        </w:rPr>
      </w:pPr>
      <w:r w:rsidRPr="00067855">
        <w:rPr>
          <w:rFonts w:eastAsia="Times New Roman" w:cstheme="minorHAnsi"/>
          <w:bCs/>
          <w:lang w:val="en-PH"/>
        </w:rPr>
        <w:lastRenderedPageBreak/>
        <w:t xml:space="preserve">exchange between virtual assets and fiat </w:t>
      </w:r>
      <w:proofErr w:type="gramStart"/>
      <w:r w:rsidRPr="00067855">
        <w:rPr>
          <w:rFonts w:eastAsia="Times New Roman" w:cstheme="minorHAnsi"/>
          <w:bCs/>
          <w:lang w:val="en-PH"/>
        </w:rPr>
        <w:t>currencies;</w:t>
      </w:r>
      <w:proofErr w:type="gramEnd"/>
    </w:p>
    <w:p w14:paraId="0899610E" w14:textId="77777777" w:rsidR="001A2DCE" w:rsidRPr="00067855" w:rsidRDefault="001A2DCE" w:rsidP="001A2DCE">
      <w:pPr>
        <w:pStyle w:val="ListParagraph"/>
        <w:spacing w:after="0" w:line="240" w:lineRule="auto"/>
        <w:ind w:left="1080"/>
        <w:jc w:val="both"/>
        <w:rPr>
          <w:rFonts w:eastAsia="Times New Roman" w:cstheme="minorHAnsi"/>
          <w:bCs/>
          <w:lang w:val="en-PH"/>
        </w:rPr>
      </w:pPr>
    </w:p>
    <w:p w14:paraId="000D70B5" w14:textId="77777777" w:rsidR="00067855" w:rsidRDefault="00067855" w:rsidP="00067855">
      <w:pPr>
        <w:pStyle w:val="ListParagraph"/>
        <w:numPr>
          <w:ilvl w:val="0"/>
          <w:numId w:val="54"/>
        </w:numPr>
        <w:spacing w:after="0" w:line="240" w:lineRule="auto"/>
        <w:jc w:val="both"/>
        <w:rPr>
          <w:rFonts w:eastAsia="Times New Roman" w:cstheme="minorHAnsi"/>
          <w:bCs/>
          <w:lang w:val="en-PH"/>
        </w:rPr>
      </w:pPr>
      <w:r w:rsidRPr="00067855">
        <w:rPr>
          <w:rFonts w:eastAsia="Times New Roman" w:cstheme="minorHAnsi"/>
          <w:bCs/>
          <w:lang w:val="en-PH"/>
        </w:rPr>
        <w:t xml:space="preserve">exchange between one or more forms of virtual </w:t>
      </w:r>
      <w:proofErr w:type="gramStart"/>
      <w:r w:rsidRPr="00067855">
        <w:rPr>
          <w:rFonts w:eastAsia="Times New Roman" w:cstheme="minorHAnsi"/>
          <w:bCs/>
          <w:lang w:val="en-PH"/>
        </w:rPr>
        <w:t>assets;</w:t>
      </w:r>
      <w:proofErr w:type="gramEnd"/>
    </w:p>
    <w:p w14:paraId="001F109B" w14:textId="77777777" w:rsidR="001A2DCE" w:rsidRPr="001A2DCE" w:rsidRDefault="001A2DCE" w:rsidP="001A2DCE">
      <w:pPr>
        <w:spacing w:after="0" w:line="240" w:lineRule="auto"/>
        <w:jc w:val="both"/>
        <w:rPr>
          <w:rFonts w:eastAsia="Times New Roman" w:cstheme="minorHAnsi"/>
          <w:bCs/>
          <w:lang w:val="en-PH"/>
        </w:rPr>
      </w:pPr>
    </w:p>
    <w:p w14:paraId="1EA978BE" w14:textId="77777777" w:rsidR="00067855" w:rsidRDefault="00067855" w:rsidP="00067855">
      <w:pPr>
        <w:pStyle w:val="ListParagraph"/>
        <w:numPr>
          <w:ilvl w:val="0"/>
          <w:numId w:val="54"/>
        </w:numPr>
        <w:spacing w:after="0" w:line="240" w:lineRule="auto"/>
        <w:jc w:val="both"/>
        <w:rPr>
          <w:rFonts w:eastAsia="Times New Roman" w:cstheme="minorHAnsi"/>
          <w:bCs/>
          <w:lang w:val="en-PH"/>
        </w:rPr>
      </w:pPr>
      <w:r w:rsidRPr="00067855">
        <w:rPr>
          <w:rFonts w:eastAsia="Times New Roman" w:cstheme="minorHAnsi"/>
          <w:bCs/>
          <w:lang w:val="en-PH"/>
        </w:rPr>
        <w:t xml:space="preserve">transfer of virtual </w:t>
      </w:r>
      <w:proofErr w:type="gramStart"/>
      <w:r w:rsidRPr="00067855">
        <w:rPr>
          <w:rFonts w:eastAsia="Times New Roman" w:cstheme="minorHAnsi"/>
          <w:bCs/>
          <w:lang w:val="en-PH"/>
        </w:rPr>
        <w:t>assets;</w:t>
      </w:r>
      <w:proofErr w:type="gramEnd"/>
    </w:p>
    <w:p w14:paraId="195CC2D4" w14:textId="77777777" w:rsidR="001A2DCE" w:rsidRPr="001A2DCE" w:rsidRDefault="001A2DCE" w:rsidP="001A2DCE">
      <w:pPr>
        <w:spacing w:after="0" w:line="240" w:lineRule="auto"/>
        <w:jc w:val="both"/>
        <w:rPr>
          <w:rFonts w:eastAsia="Times New Roman" w:cstheme="minorHAnsi"/>
          <w:bCs/>
          <w:lang w:val="en-PH"/>
        </w:rPr>
      </w:pPr>
    </w:p>
    <w:p w14:paraId="6689D236" w14:textId="77777777" w:rsidR="00067855" w:rsidRDefault="00067855" w:rsidP="00067855">
      <w:pPr>
        <w:pStyle w:val="ListParagraph"/>
        <w:numPr>
          <w:ilvl w:val="0"/>
          <w:numId w:val="54"/>
        </w:numPr>
        <w:spacing w:after="0" w:line="240" w:lineRule="auto"/>
        <w:jc w:val="both"/>
        <w:rPr>
          <w:rFonts w:eastAsia="Times New Roman" w:cstheme="minorHAnsi"/>
          <w:bCs/>
          <w:lang w:val="en-PH"/>
        </w:rPr>
      </w:pPr>
      <w:r w:rsidRPr="00067855">
        <w:rPr>
          <w:rFonts w:eastAsia="Times New Roman" w:cstheme="minorHAnsi"/>
          <w:bCs/>
          <w:lang w:val="en-PH"/>
        </w:rPr>
        <w:t>safekeeping and/or administration of virtual assets or instruments enabling control over virtual assets; and</w:t>
      </w:r>
    </w:p>
    <w:p w14:paraId="7FC794E0" w14:textId="77777777" w:rsidR="001A2DCE" w:rsidRPr="001A2DCE" w:rsidRDefault="001A2DCE" w:rsidP="001A2DCE">
      <w:pPr>
        <w:spacing w:after="0" w:line="240" w:lineRule="auto"/>
        <w:jc w:val="both"/>
        <w:rPr>
          <w:rFonts w:eastAsia="Times New Roman" w:cstheme="minorHAnsi"/>
          <w:bCs/>
          <w:lang w:val="en-PH"/>
        </w:rPr>
      </w:pPr>
    </w:p>
    <w:p w14:paraId="50524A24" w14:textId="77777777" w:rsidR="00067855" w:rsidRDefault="00067855" w:rsidP="00067855">
      <w:pPr>
        <w:pStyle w:val="ListParagraph"/>
        <w:numPr>
          <w:ilvl w:val="0"/>
          <w:numId w:val="54"/>
        </w:numPr>
        <w:spacing w:after="0" w:line="240" w:lineRule="auto"/>
        <w:jc w:val="both"/>
        <w:rPr>
          <w:rFonts w:eastAsia="Times New Roman" w:cstheme="minorHAnsi"/>
          <w:bCs/>
          <w:lang w:val="en-PH"/>
        </w:rPr>
      </w:pPr>
      <w:r w:rsidRPr="00067855">
        <w:rPr>
          <w:rFonts w:eastAsia="Times New Roman" w:cstheme="minorHAnsi"/>
          <w:bCs/>
          <w:lang w:val="en-PH"/>
        </w:rPr>
        <w:t>participation in and provision of financial services related to an issuer’s offer and/or sale of a virtual asset.</w:t>
      </w:r>
    </w:p>
    <w:p w14:paraId="5F9405AD" w14:textId="77777777" w:rsidR="00F17741" w:rsidRPr="00067855" w:rsidRDefault="00F17741" w:rsidP="00F17741">
      <w:pPr>
        <w:pStyle w:val="ListParagraph"/>
        <w:spacing w:after="0" w:line="240" w:lineRule="auto"/>
        <w:ind w:left="1080"/>
        <w:jc w:val="both"/>
        <w:rPr>
          <w:rFonts w:eastAsia="Times New Roman" w:cstheme="minorHAnsi"/>
          <w:bCs/>
          <w:lang w:val="en-PH"/>
        </w:rPr>
      </w:pPr>
    </w:p>
    <w:p w14:paraId="7FF32FD3" w14:textId="77777777" w:rsidR="00067855" w:rsidRDefault="00067855" w:rsidP="00067855">
      <w:pPr>
        <w:spacing w:after="0" w:line="240" w:lineRule="auto"/>
        <w:ind w:left="360"/>
        <w:jc w:val="both"/>
        <w:rPr>
          <w:rFonts w:eastAsia="Times New Roman" w:cstheme="minorHAnsi"/>
          <w:bCs/>
          <w:lang w:val="en-PH"/>
        </w:rPr>
      </w:pPr>
      <w:r w:rsidRPr="00067855">
        <w:rPr>
          <w:rFonts w:eastAsia="Times New Roman" w:cstheme="minorHAnsi"/>
          <w:bCs/>
          <w:lang w:val="en-PH"/>
        </w:rPr>
        <w:t xml:space="preserve">VASPs operating in Gibraltar must obtain authorisation from the GFSC as a DLT provider. The authorisation process involves </w:t>
      </w:r>
      <w:proofErr w:type="gramStart"/>
      <w:r w:rsidRPr="00067855">
        <w:rPr>
          <w:rFonts w:eastAsia="Times New Roman" w:cstheme="minorHAnsi"/>
          <w:bCs/>
          <w:lang w:val="en-PH"/>
        </w:rPr>
        <w:t>submitting an application</w:t>
      </w:r>
      <w:proofErr w:type="gramEnd"/>
      <w:r w:rsidRPr="00067855">
        <w:rPr>
          <w:rFonts w:eastAsia="Times New Roman" w:cstheme="minorHAnsi"/>
          <w:bCs/>
          <w:lang w:val="en-PH"/>
        </w:rPr>
        <w:t xml:space="preserve"> assessment request and providing relevant documents and fees. Once authorised, VASPs must comply with ongoing regulatory obligations such as AML/CFT regulations, maintaining adequate resources, implementing risk management systems, and adhering to regulatory principles such as conducting business with honesty and integrity.</w:t>
      </w:r>
    </w:p>
    <w:p w14:paraId="478CEC7B" w14:textId="77777777" w:rsidR="00F17741" w:rsidRPr="00067855" w:rsidRDefault="00F17741" w:rsidP="00067855">
      <w:pPr>
        <w:spacing w:after="0" w:line="240" w:lineRule="auto"/>
        <w:ind w:left="360"/>
        <w:jc w:val="both"/>
        <w:rPr>
          <w:rFonts w:eastAsia="Times New Roman" w:cstheme="minorHAnsi"/>
          <w:bCs/>
          <w:lang w:val="en-PH"/>
        </w:rPr>
      </w:pPr>
    </w:p>
    <w:p w14:paraId="2F7EAF4F" w14:textId="36909BAF" w:rsidR="00067855" w:rsidRDefault="00067855" w:rsidP="003427DB">
      <w:pPr>
        <w:pStyle w:val="Heading2"/>
      </w:pPr>
      <w:bookmarkStart w:id="14" w:name="_Toc195261855"/>
      <w:r w:rsidRPr="00067855">
        <w:t>Are VASPs providing virtual asset services from offshore to persons in Gibraltar subject to regulation in Gibraltar?</w:t>
      </w:r>
      <w:bookmarkEnd w:id="14"/>
    </w:p>
    <w:p w14:paraId="6560023D" w14:textId="77777777" w:rsidR="00F17741" w:rsidRPr="00067855" w:rsidRDefault="00F17741" w:rsidP="00067855">
      <w:pPr>
        <w:spacing w:after="0" w:line="240" w:lineRule="auto"/>
        <w:ind w:left="360"/>
        <w:jc w:val="both"/>
        <w:rPr>
          <w:rFonts w:eastAsia="Times New Roman" w:cstheme="minorHAnsi"/>
          <w:bCs/>
          <w:lang w:val="en-PH"/>
        </w:rPr>
      </w:pPr>
    </w:p>
    <w:p w14:paraId="2A1834B4" w14:textId="77777777" w:rsidR="00067855" w:rsidRDefault="00067855" w:rsidP="00067855">
      <w:pPr>
        <w:spacing w:after="0" w:line="240" w:lineRule="auto"/>
        <w:ind w:left="360"/>
        <w:jc w:val="both"/>
        <w:rPr>
          <w:rFonts w:eastAsia="Times New Roman" w:cstheme="minorHAnsi"/>
          <w:bCs/>
          <w:lang w:val="en-PH"/>
        </w:rPr>
      </w:pPr>
      <w:r w:rsidRPr="00067855">
        <w:rPr>
          <w:rFonts w:eastAsia="Times New Roman" w:cstheme="minorHAnsi"/>
          <w:bCs/>
          <w:lang w:val="en-PH"/>
        </w:rPr>
        <w:t>Yes, VASPs providing virtual asset services from offshore to persons in Gibraltar may be subject to regulation in Gibraltar, depending on the nature and scope of their activities.</w:t>
      </w:r>
    </w:p>
    <w:p w14:paraId="1BCD9BC5" w14:textId="77777777" w:rsidR="00F17741" w:rsidRPr="00067855" w:rsidRDefault="00F17741" w:rsidP="00067855">
      <w:pPr>
        <w:spacing w:after="0" w:line="240" w:lineRule="auto"/>
        <w:ind w:left="360"/>
        <w:jc w:val="both"/>
        <w:rPr>
          <w:rFonts w:eastAsia="Times New Roman" w:cstheme="minorHAnsi"/>
          <w:bCs/>
          <w:lang w:val="en-PH"/>
        </w:rPr>
      </w:pPr>
    </w:p>
    <w:p w14:paraId="7DAAB068" w14:textId="77777777" w:rsidR="00067855" w:rsidRDefault="00067855" w:rsidP="00067855">
      <w:pPr>
        <w:spacing w:after="0" w:line="240" w:lineRule="auto"/>
        <w:ind w:left="360"/>
        <w:jc w:val="both"/>
        <w:rPr>
          <w:rFonts w:eastAsia="Times New Roman" w:cstheme="minorHAnsi"/>
          <w:bCs/>
          <w:lang w:val="en-PH"/>
        </w:rPr>
      </w:pPr>
      <w:r w:rsidRPr="00067855">
        <w:rPr>
          <w:rFonts w:eastAsia="Times New Roman" w:cstheme="minorHAnsi"/>
          <w:bCs/>
          <w:lang w:val="en-PH"/>
        </w:rPr>
        <w:t>Under the Financial Services (Distributed Ledger Technology Providers) Regulations 2020, any person who carries out a "controlled activity" in or from Gibraltar is required to obtain authorisation from the GFSC as a DLT provider. Controlled activities include the exchange, transfer, safekeeping, and administration of virtual assets, as well as the provision of financial services related to an issuer's offer and/or sale of a virtual asset.</w:t>
      </w:r>
    </w:p>
    <w:p w14:paraId="30B5E5DA" w14:textId="77777777" w:rsidR="00F17741" w:rsidRPr="00067855" w:rsidRDefault="00F17741" w:rsidP="00067855">
      <w:pPr>
        <w:spacing w:after="0" w:line="240" w:lineRule="auto"/>
        <w:ind w:left="360"/>
        <w:jc w:val="both"/>
        <w:rPr>
          <w:rFonts w:eastAsia="Times New Roman" w:cstheme="minorHAnsi"/>
          <w:bCs/>
          <w:lang w:val="en-PH"/>
        </w:rPr>
      </w:pPr>
    </w:p>
    <w:p w14:paraId="183E8FE0" w14:textId="77777777" w:rsidR="00067855" w:rsidRDefault="00067855" w:rsidP="00067855">
      <w:pPr>
        <w:spacing w:after="0" w:line="240" w:lineRule="auto"/>
        <w:ind w:left="360"/>
        <w:jc w:val="both"/>
        <w:rPr>
          <w:rFonts w:eastAsia="Times New Roman" w:cstheme="minorHAnsi"/>
          <w:bCs/>
          <w:lang w:val="en-PH"/>
        </w:rPr>
      </w:pPr>
      <w:r w:rsidRPr="00067855">
        <w:rPr>
          <w:rFonts w:eastAsia="Times New Roman" w:cstheme="minorHAnsi"/>
          <w:bCs/>
          <w:lang w:val="en-PH"/>
        </w:rPr>
        <w:t>If a VASP is providing virtual asset services from offshore to persons in Gibraltar, and those services constitute a controlled activity, then the VASP may be required to obtain authorisation from the GFSC. This would depend on various factors, such as the nature and frequency of the services provided, the location of the VASP's headquarters and servers, and the degree of control exercised by the VASP over the virtual assets involved.</w:t>
      </w:r>
    </w:p>
    <w:p w14:paraId="03E6B218" w14:textId="77777777" w:rsidR="00F17741" w:rsidRPr="00067855" w:rsidRDefault="00F17741" w:rsidP="00067855">
      <w:pPr>
        <w:spacing w:after="0" w:line="240" w:lineRule="auto"/>
        <w:ind w:left="360"/>
        <w:jc w:val="both"/>
        <w:rPr>
          <w:rFonts w:eastAsia="Times New Roman" w:cstheme="minorHAnsi"/>
          <w:bCs/>
          <w:lang w:val="en-PH"/>
        </w:rPr>
      </w:pPr>
    </w:p>
    <w:p w14:paraId="33225539" w14:textId="77777777" w:rsidR="00067855" w:rsidRDefault="00067855" w:rsidP="00067855">
      <w:pPr>
        <w:spacing w:after="0" w:line="240" w:lineRule="auto"/>
        <w:ind w:left="360"/>
        <w:jc w:val="both"/>
        <w:rPr>
          <w:rFonts w:eastAsia="Times New Roman" w:cstheme="minorHAnsi"/>
          <w:bCs/>
          <w:lang w:val="en-PH"/>
        </w:rPr>
      </w:pPr>
      <w:r w:rsidRPr="00067855">
        <w:rPr>
          <w:rFonts w:eastAsia="Times New Roman" w:cstheme="minorHAnsi"/>
          <w:bCs/>
          <w:lang w:val="en-PH"/>
        </w:rPr>
        <w:t>Even if a VASP is not required to obtain authorisation from the GFSC, it may still be subject to other regulatory regimes in Gibraltar, such as AML/CFT regulations.</w:t>
      </w:r>
    </w:p>
    <w:p w14:paraId="0927611C" w14:textId="77777777" w:rsidR="00F17741" w:rsidRPr="00067855" w:rsidRDefault="00F17741" w:rsidP="00067855">
      <w:pPr>
        <w:spacing w:after="0" w:line="240" w:lineRule="auto"/>
        <w:ind w:left="360"/>
        <w:jc w:val="both"/>
        <w:rPr>
          <w:rFonts w:eastAsia="Times New Roman" w:cstheme="minorHAnsi"/>
          <w:bCs/>
          <w:lang w:val="en-PH"/>
        </w:rPr>
      </w:pPr>
    </w:p>
    <w:p w14:paraId="472C452C" w14:textId="77777777" w:rsidR="00067855" w:rsidRDefault="00067855" w:rsidP="003427DB">
      <w:pPr>
        <w:pStyle w:val="Heading2"/>
      </w:pPr>
      <w:bookmarkStart w:id="15" w:name="_Toc195261856"/>
      <w:r w:rsidRPr="00067855">
        <w:t>What are the main requirements for obtaining licensing / registration as a VASP in Gibraltar?</w:t>
      </w:r>
      <w:bookmarkEnd w:id="15"/>
    </w:p>
    <w:p w14:paraId="13C66C5E" w14:textId="77777777" w:rsidR="00F17741" w:rsidRPr="00067855" w:rsidRDefault="00F17741" w:rsidP="00067855">
      <w:pPr>
        <w:spacing w:after="0" w:line="240" w:lineRule="auto"/>
        <w:ind w:left="360"/>
        <w:jc w:val="both"/>
        <w:rPr>
          <w:rFonts w:eastAsia="Times New Roman" w:cstheme="minorHAnsi"/>
          <w:bCs/>
          <w:lang w:val="en-PH"/>
        </w:rPr>
      </w:pPr>
    </w:p>
    <w:p w14:paraId="08667E2E" w14:textId="77777777" w:rsidR="00067855" w:rsidRDefault="00067855" w:rsidP="00067855">
      <w:pPr>
        <w:spacing w:after="0" w:line="240" w:lineRule="auto"/>
        <w:ind w:left="360"/>
        <w:jc w:val="both"/>
        <w:rPr>
          <w:rFonts w:eastAsia="Times New Roman" w:cstheme="minorHAnsi"/>
          <w:bCs/>
          <w:lang w:val="en-PH"/>
        </w:rPr>
      </w:pPr>
      <w:r w:rsidRPr="00067855">
        <w:rPr>
          <w:rFonts w:eastAsia="Times New Roman" w:cstheme="minorHAnsi"/>
          <w:bCs/>
          <w:lang w:val="en-PH"/>
        </w:rPr>
        <w:t>The main requirements for obtaining licensing/registration as a VASP in Gibraltar are as follows:</w:t>
      </w:r>
    </w:p>
    <w:p w14:paraId="0805A83D" w14:textId="77777777" w:rsidR="00F17741" w:rsidRPr="00067855" w:rsidRDefault="00F17741" w:rsidP="00067855">
      <w:pPr>
        <w:spacing w:after="0" w:line="240" w:lineRule="auto"/>
        <w:ind w:left="360"/>
        <w:jc w:val="both"/>
        <w:rPr>
          <w:rFonts w:eastAsia="Times New Roman" w:cstheme="minorHAnsi"/>
          <w:bCs/>
          <w:lang w:val="en-PH"/>
        </w:rPr>
      </w:pPr>
    </w:p>
    <w:p w14:paraId="5F037257" w14:textId="77777777" w:rsidR="00067855" w:rsidRDefault="00067855" w:rsidP="00067855">
      <w:pPr>
        <w:pStyle w:val="ListParagraph"/>
        <w:numPr>
          <w:ilvl w:val="0"/>
          <w:numId w:val="55"/>
        </w:numPr>
        <w:spacing w:after="0" w:line="240" w:lineRule="auto"/>
        <w:jc w:val="both"/>
        <w:rPr>
          <w:rFonts w:eastAsia="Times New Roman" w:cstheme="minorHAnsi"/>
          <w:bCs/>
          <w:lang w:val="en-PH"/>
        </w:rPr>
      </w:pPr>
      <w:r w:rsidRPr="00067855">
        <w:rPr>
          <w:rFonts w:eastAsia="Times New Roman" w:cstheme="minorHAnsi"/>
          <w:bCs/>
          <w:lang w:val="en-PH"/>
        </w:rPr>
        <w:t xml:space="preserve">submission of an application assessment request to the GFSC, along with relevant documents and </w:t>
      </w:r>
      <w:proofErr w:type="gramStart"/>
      <w:r w:rsidRPr="00067855">
        <w:rPr>
          <w:rFonts w:eastAsia="Times New Roman" w:cstheme="minorHAnsi"/>
          <w:bCs/>
          <w:lang w:val="en-PH"/>
        </w:rPr>
        <w:t>fees;</w:t>
      </w:r>
      <w:proofErr w:type="gramEnd"/>
    </w:p>
    <w:p w14:paraId="5EFAB98C" w14:textId="77777777" w:rsidR="001A2DCE" w:rsidRPr="001A2DCE" w:rsidRDefault="001A2DCE" w:rsidP="001A2DCE">
      <w:pPr>
        <w:spacing w:after="0" w:line="240" w:lineRule="auto"/>
        <w:ind w:left="720"/>
        <w:jc w:val="both"/>
        <w:rPr>
          <w:rFonts w:eastAsia="Times New Roman" w:cstheme="minorHAnsi"/>
          <w:bCs/>
          <w:lang w:val="en-PH"/>
        </w:rPr>
      </w:pPr>
    </w:p>
    <w:p w14:paraId="22466653" w14:textId="77777777" w:rsidR="00067855" w:rsidRDefault="00067855" w:rsidP="00067855">
      <w:pPr>
        <w:pStyle w:val="ListParagraph"/>
        <w:numPr>
          <w:ilvl w:val="0"/>
          <w:numId w:val="55"/>
        </w:numPr>
        <w:spacing w:after="0" w:line="240" w:lineRule="auto"/>
        <w:jc w:val="both"/>
        <w:rPr>
          <w:rFonts w:eastAsia="Times New Roman" w:cstheme="minorHAnsi"/>
          <w:bCs/>
          <w:lang w:val="en-PH"/>
        </w:rPr>
      </w:pPr>
      <w:r w:rsidRPr="00067855">
        <w:rPr>
          <w:rFonts w:eastAsia="Times New Roman" w:cstheme="minorHAnsi"/>
          <w:bCs/>
          <w:lang w:val="en-PH"/>
        </w:rPr>
        <w:t xml:space="preserve">provision of a detailed business plan outlining the proposed business model, products and services to be offered, and risk management </w:t>
      </w:r>
      <w:proofErr w:type="gramStart"/>
      <w:r w:rsidRPr="00067855">
        <w:rPr>
          <w:rFonts w:eastAsia="Times New Roman" w:cstheme="minorHAnsi"/>
          <w:bCs/>
          <w:lang w:val="en-PH"/>
        </w:rPr>
        <w:t>systems;</w:t>
      </w:r>
      <w:proofErr w:type="gramEnd"/>
    </w:p>
    <w:p w14:paraId="5277E370" w14:textId="77777777" w:rsidR="001A2DCE" w:rsidRPr="001A2DCE" w:rsidRDefault="001A2DCE" w:rsidP="001A2DCE">
      <w:pPr>
        <w:spacing w:after="0" w:line="240" w:lineRule="auto"/>
        <w:jc w:val="both"/>
        <w:rPr>
          <w:rFonts w:eastAsia="Times New Roman" w:cstheme="minorHAnsi"/>
          <w:bCs/>
          <w:lang w:val="en-PH"/>
        </w:rPr>
      </w:pPr>
    </w:p>
    <w:p w14:paraId="01D03527" w14:textId="77777777" w:rsidR="00067855" w:rsidRDefault="00067855" w:rsidP="00067855">
      <w:pPr>
        <w:pStyle w:val="ListParagraph"/>
        <w:numPr>
          <w:ilvl w:val="0"/>
          <w:numId w:val="55"/>
        </w:numPr>
        <w:spacing w:after="0" w:line="240" w:lineRule="auto"/>
        <w:jc w:val="both"/>
        <w:rPr>
          <w:rFonts w:eastAsia="Times New Roman" w:cstheme="minorHAnsi"/>
          <w:bCs/>
          <w:lang w:val="en-PH"/>
        </w:rPr>
      </w:pPr>
      <w:r w:rsidRPr="00067855">
        <w:rPr>
          <w:rFonts w:eastAsia="Times New Roman" w:cstheme="minorHAnsi"/>
          <w:bCs/>
          <w:lang w:val="en-PH"/>
        </w:rPr>
        <w:t xml:space="preserve">demonstration of adequate financial and non-financial resources to support the proposed business </w:t>
      </w:r>
      <w:proofErr w:type="gramStart"/>
      <w:r w:rsidRPr="00067855">
        <w:rPr>
          <w:rFonts w:eastAsia="Times New Roman" w:cstheme="minorHAnsi"/>
          <w:bCs/>
          <w:lang w:val="en-PH"/>
        </w:rPr>
        <w:t>activities;</w:t>
      </w:r>
      <w:proofErr w:type="gramEnd"/>
    </w:p>
    <w:p w14:paraId="03574E98" w14:textId="77777777" w:rsidR="001A2DCE" w:rsidRPr="001A2DCE" w:rsidRDefault="001A2DCE" w:rsidP="001A2DCE">
      <w:pPr>
        <w:spacing w:after="0" w:line="240" w:lineRule="auto"/>
        <w:jc w:val="both"/>
        <w:rPr>
          <w:rFonts w:eastAsia="Times New Roman" w:cstheme="minorHAnsi"/>
          <w:bCs/>
          <w:lang w:val="en-PH"/>
        </w:rPr>
      </w:pPr>
    </w:p>
    <w:p w14:paraId="2B93D915" w14:textId="77777777" w:rsidR="00067855" w:rsidRDefault="00067855" w:rsidP="00067855">
      <w:pPr>
        <w:pStyle w:val="ListParagraph"/>
        <w:numPr>
          <w:ilvl w:val="0"/>
          <w:numId w:val="55"/>
        </w:numPr>
        <w:spacing w:after="0" w:line="240" w:lineRule="auto"/>
        <w:jc w:val="both"/>
        <w:rPr>
          <w:rFonts w:eastAsia="Times New Roman" w:cstheme="minorHAnsi"/>
          <w:bCs/>
          <w:lang w:val="en-PH"/>
        </w:rPr>
      </w:pPr>
      <w:r w:rsidRPr="00067855">
        <w:rPr>
          <w:rFonts w:eastAsia="Times New Roman" w:cstheme="minorHAnsi"/>
          <w:bCs/>
          <w:lang w:val="en-PH"/>
        </w:rPr>
        <w:t xml:space="preserve">implementation of appropriate AML/CFT policies and procedures, including customer due diligence and ongoing </w:t>
      </w:r>
      <w:proofErr w:type="gramStart"/>
      <w:r w:rsidRPr="00067855">
        <w:rPr>
          <w:rFonts w:eastAsia="Times New Roman" w:cstheme="minorHAnsi"/>
          <w:bCs/>
          <w:lang w:val="en-PH"/>
        </w:rPr>
        <w:t>monitoring;</w:t>
      </w:r>
      <w:proofErr w:type="gramEnd"/>
    </w:p>
    <w:p w14:paraId="73661F7C" w14:textId="77777777" w:rsidR="001A2DCE" w:rsidRPr="001A2DCE" w:rsidRDefault="001A2DCE" w:rsidP="001A2DCE">
      <w:pPr>
        <w:spacing w:after="0" w:line="240" w:lineRule="auto"/>
        <w:jc w:val="both"/>
        <w:rPr>
          <w:rFonts w:eastAsia="Times New Roman" w:cstheme="minorHAnsi"/>
          <w:bCs/>
          <w:lang w:val="en-PH"/>
        </w:rPr>
      </w:pPr>
    </w:p>
    <w:p w14:paraId="61FBD225" w14:textId="77777777" w:rsidR="00067855" w:rsidRDefault="00067855" w:rsidP="00067855">
      <w:pPr>
        <w:pStyle w:val="ListParagraph"/>
        <w:numPr>
          <w:ilvl w:val="0"/>
          <w:numId w:val="55"/>
        </w:numPr>
        <w:spacing w:after="0" w:line="240" w:lineRule="auto"/>
        <w:jc w:val="both"/>
        <w:rPr>
          <w:rFonts w:eastAsia="Times New Roman" w:cstheme="minorHAnsi"/>
          <w:bCs/>
          <w:lang w:val="en-PH"/>
        </w:rPr>
      </w:pPr>
      <w:r w:rsidRPr="00067855">
        <w:rPr>
          <w:rFonts w:eastAsia="Times New Roman" w:cstheme="minorHAnsi"/>
          <w:bCs/>
          <w:lang w:val="en-PH"/>
        </w:rPr>
        <w:t xml:space="preserve">compliance with the regulatory principles outlined in the Financial Services (Distributed Ledger Technology Providers) Regulations 2020, including conducting business with honesty and integrity, paying due regard to the interests and needs of all customers, and maintaining adequate financial and non-financial </w:t>
      </w:r>
      <w:proofErr w:type="gramStart"/>
      <w:r w:rsidRPr="00067855">
        <w:rPr>
          <w:rFonts w:eastAsia="Times New Roman" w:cstheme="minorHAnsi"/>
          <w:bCs/>
          <w:lang w:val="en-PH"/>
        </w:rPr>
        <w:t>resources;</w:t>
      </w:r>
      <w:proofErr w:type="gramEnd"/>
    </w:p>
    <w:p w14:paraId="3F5B4C12" w14:textId="77777777" w:rsidR="001A2DCE" w:rsidRPr="001A2DCE" w:rsidRDefault="001A2DCE" w:rsidP="001A2DCE">
      <w:pPr>
        <w:spacing w:after="0" w:line="240" w:lineRule="auto"/>
        <w:jc w:val="both"/>
        <w:rPr>
          <w:rFonts w:eastAsia="Times New Roman" w:cstheme="minorHAnsi"/>
          <w:bCs/>
          <w:lang w:val="en-PH"/>
        </w:rPr>
      </w:pPr>
    </w:p>
    <w:p w14:paraId="14B9CC48" w14:textId="77777777" w:rsidR="00067855" w:rsidRDefault="00067855" w:rsidP="00067855">
      <w:pPr>
        <w:pStyle w:val="ListParagraph"/>
        <w:numPr>
          <w:ilvl w:val="0"/>
          <w:numId w:val="55"/>
        </w:numPr>
        <w:spacing w:after="0" w:line="240" w:lineRule="auto"/>
        <w:jc w:val="both"/>
        <w:rPr>
          <w:rFonts w:eastAsia="Times New Roman" w:cstheme="minorHAnsi"/>
          <w:bCs/>
          <w:lang w:val="en-PH"/>
        </w:rPr>
      </w:pPr>
      <w:r w:rsidRPr="00067855">
        <w:rPr>
          <w:rFonts w:eastAsia="Times New Roman" w:cstheme="minorHAnsi"/>
          <w:bCs/>
          <w:lang w:val="en-PH"/>
        </w:rPr>
        <w:t xml:space="preserve">appointment of a suitable compliance officer and money laundering reporting </w:t>
      </w:r>
      <w:proofErr w:type="gramStart"/>
      <w:r w:rsidRPr="00067855">
        <w:rPr>
          <w:rFonts w:eastAsia="Times New Roman" w:cstheme="minorHAnsi"/>
          <w:bCs/>
          <w:lang w:val="en-PH"/>
        </w:rPr>
        <w:t>officer;</w:t>
      </w:r>
      <w:proofErr w:type="gramEnd"/>
    </w:p>
    <w:p w14:paraId="223D6EE0" w14:textId="77777777" w:rsidR="001A2DCE" w:rsidRPr="001A2DCE" w:rsidRDefault="001A2DCE" w:rsidP="001A2DCE">
      <w:pPr>
        <w:spacing w:after="0" w:line="240" w:lineRule="auto"/>
        <w:jc w:val="both"/>
        <w:rPr>
          <w:rFonts w:eastAsia="Times New Roman" w:cstheme="minorHAnsi"/>
          <w:bCs/>
          <w:lang w:val="en-PH"/>
        </w:rPr>
      </w:pPr>
    </w:p>
    <w:p w14:paraId="36DE9CC8" w14:textId="77777777" w:rsidR="00067855" w:rsidRDefault="00067855" w:rsidP="00067855">
      <w:pPr>
        <w:pStyle w:val="ListParagraph"/>
        <w:numPr>
          <w:ilvl w:val="0"/>
          <w:numId w:val="55"/>
        </w:numPr>
        <w:spacing w:after="0" w:line="240" w:lineRule="auto"/>
        <w:jc w:val="both"/>
        <w:rPr>
          <w:rFonts w:eastAsia="Times New Roman" w:cstheme="minorHAnsi"/>
          <w:bCs/>
          <w:lang w:val="en-PH"/>
        </w:rPr>
      </w:pPr>
      <w:r w:rsidRPr="00067855">
        <w:rPr>
          <w:rFonts w:eastAsia="Times New Roman" w:cstheme="minorHAnsi"/>
          <w:bCs/>
          <w:lang w:val="en-PH"/>
        </w:rPr>
        <w:t xml:space="preserve">provision of adequate IT systems and security measures to protect customer data and </w:t>
      </w:r>
      <w:proofErr w:type="gramStart"/>
      <w:r w:rsidRPr="00067855">
        <w:rPr>
          <w:rFonts w:eastAsia="Times New Roman" w:cstheme="minorHAnsi"/>
          <w:bCs/>
          <w:lang w:val="en-PH"/>
        </w:rPr>
        <w:t>assets;</w:t>
      </w:r>
      <w:proofErr w:type="gramEnd"/>
    </w:p>
    <w:p w14:paraId="6A5FBEF1" w14:textId="77777777" w:rsidR="001A2DCE" w:rsidRPr="001A2DCE" w:rsidRDefault="001A2DCE" w:rsidP="001A2DCE">
      <w:pPr>
        <w:spacing w:after="0" w:line="240" w:lineRule="auto"/>
        <w:jc w:val="both"/>
        <w:rPr>
          <w:rFonts w:eastAsia="Times New Roman" w:cstheme="minorHAnsi"/>
          <w:bCs/>
          <w:lang w:val="en-PH"/>
        </w:rPr>
      </w:pPr>
    </w:p>
    <w:p w14:paraId="15316818" w14:textId="77777777" w:rsidR="00067855" w:rsidRDefault="00067855" w:rsidP="00067855">
      <w:pPr>
        <w:pStyle w:val="ListParagraph"/>
        <w:numPr>
          <w:ilvl w:val="0"/>
          <w:numId w:val="55"/>
        </w:numPr>
        <w:spacing w:after="0" w:line="240" w:lineRule="auto"/>
        <w:jc w:val="both"/>
        <w:rPr>
          <w:rFonts w:eastAsia="Times New Roman" w:cstheme="minorHAnsi"/>
          <w:bCs/>
          <w:lang w:val="en-PH"/>
        </w:rPr>
      </w:pPr>
      <w:r w:rsidRPr="00067855">
        <w:rPr>
          <w:rFonts w:eastAsia="Times New Roman" w:cstheme="minorHAnsi"/>
          <w:bCs/>
          <w:lang w:val="en-PH"/>
        </w:rPr>
        <w:t>maintenance of adequate insurance coverage to protect against potential risks; and</w:t>
      </w:r>
    </w:p>
    <w:p w14:paraId="41F0C037" w14:textId="77777777" w:rsidR="001A2DCE" w:rsidRPr="001A2DCE" w:rsidRDefault="001A2DCE" w:rsidP="001A2DCE">
      <w:pPr>
        <w:spacing w:after="0" w:line="240" w:lineRule="auto"/>
        <w:jc w:val="both"/>
        <w:rPr>
          <w:rFonts w:eastAsia="Times New Roman" w:cstheme="minorHAnsi"/>
          <w:bCs/>
          <w:lang w:val="en-PH"/>
        </w:rPr>
      </w:pPr>
    </w:p>
    <w:p w14:paraId="2373267B" w14:textId="77777777" w:rsidR="00067855" w:rsidRDefault="00067855" w:rsidP="00067855">
      <w:pPr>
        <w:pStyle w:val="ListParagraph"/>
        <w:numPr>
          <w:ilvl w:val="0"/>
          <w:numId w:val="55"/>
        </w:numPr>
        <w:spacing w:after="0" w:line="240" w:lineRule="auto"/>
        <w:jc w:val="both"/>
        <w:rPr>
          <w:rFonts w:eastAsia="Times New Roman" w:cstheme="minorHAnsi"/>
          <w:bCs/>
          <w:lang w:val="en-PH"/>
        </w:rPr>
      </w:pPr>
      <w:r w:rsidRPr="00067855">
        <w:rPr>
          <w:rFonts w:eastAsia="Times New Roman" w:cstheme="minorHAnsi"/>
          <w:bCs/>
          <w:lang w:val="en-PH"/>
        </w:rPr>
        <w:t>compliance with ongoing regulatory reporting and disclosure requirements.</w:t>
      </w:r>
    </w:p>
    <w:p w14:paraId="00F027F8" w14:textId="77777777" w:rsidR="00F17741" w:rsidRPr="00F17741" w:rsidRDefault="00F17741" w:rsidP="00F17741">
      <w:pPr>
        <w:spacing w:after="0" w:line="240" w:lineRule="auto"/>
        <w:jc w:val="both"/>
        <w:rPr>
          <w:rFonts w:eastAsia="Times New Roman" w:cstheme="minorHAnsi"/>
          <w:bCs/>
          <w:lang w:val="en-PH"/>
        </w:rPr>
      </w:pPr>
    </w:p>
    <w:p w14:paraId="1397F449" w14:textId="77777777" w:rsidR="00067855" w:rsidRDefault="00067855" w:rsidP="00067855">
      <w:pPr>
        <w:spacing w:after="0" w:line="240" w:lineRule="auto"/>
        <w:ind w:left="360"/>
        <w:jc w:val="both"/>
        <w:rPr>
          <w:rFonts w:eastAsia="Times New Roman" w:cstheme="minorHAnsi"/>
          <w:bCs/>
          <w:lang w:val="en-PH"/>
        </w:rPr>
      </w:pPr>
      <w:r w:rsidRPr="00067855">
        <w:rPr>
          <w:rFonts w:eastAsia="Times New Roman" w:cstheme="minorHAnsi"/>
          <w:bCs/>
          <w:lang w:val="en-PH"/>
        </w:rPr>
        <w:t>Licensing fees for VASPs in Gibraltar are determined by the GFSC and are based on the complexity and risk profile of the applicant's proposed business model. The fees are split into two categories:</w:t>
      </w:r>
    </w:p>
    <w:p w14:paraId="2EAFAE1E" w14:textId="77777777" w:rsidR="00F17741" w:rsidRPr="00067855" w:rsidRDefault="00F17741" w:rsidP="00067855">
      <w:pPr>
        <w:spacing w:after="0" w:line="240" w:lineRule="auto"/>
        <w:ind w:left="360"/>
        <w:jc w:val="both"/>
        <w:rPr>
          <w:rFonts w:eastAsia="Times New Roman" w:cstheme="minorHAnsi"/>
          <w:bCs/>
          <w:lang w:val="en-PH"/>
        </w:rPr>
      </w:pPr>
    </w:p>
    <w:p w14:paraId="47833F74" w14:textId="77777777" w:rsidR="00067855" w:rsidRDefault="00067855" w:rsidP="00572545">
      <w:pPr>
        <w:pStyle w:val="ListParagraph"/>
        <w:numPr>
          <w:ilvl w:val="0"/>
          <w:numId w:val="56"/>
        </w:numPr>
        <w:spacing w:after="0" w:line="240" w:lineRule="auto"/>
        <w:jc w:val="both"/>
        <w:rPr>
          <w:rFonts w:eastAsia="Times New Roman" w:cstheme="minorHAnsi"/>
          <w:bCs/>
          <w:lang w:val="en-PH"/>
        </w:rPr>
      </w:pPr>
      <w:r w:rsidRPr="00067855">
        <w:rPr>
          <w:rFonts w:eastAsia="Times New Roman" w:cstheme="minorHAnsi"/>
          <w:bCs/>
          <w:u w:val="single"/>
          <w:lang w:val="en-PH"/>
        </w:rPr>
        <w:t>Application fee</w:t>
      </w:r>
      <w:r w:rsidRPr="00067855">
        <w:rPr>
          <w:rFonts w:eastAsia="Times New Roman" w:cstheme="minorHAnsi"/>
          <w:bCs/>
          <w:lang w:val="en-PH"/>
        </w:rPr>
        <w:t>: This fee is payable at the time of submitting the application and covers the cost of the GFSC's initial assessment of the application. The application fee is currently set at £2,000.</w:t>
      </w:r>
    </w:p>
    <w:p w14:paraId="2D372503" w14:textId="77777777" w:rsidR="00F17741" w:rsidRPr="00067855" w:rsidRDefault="00F17741" w:rsidP="00572545">
      <w:pPr>
        <w:pStyle w:val="ListParagraph"/>
        <w:spacing w:after="0" w:line="240" w:lineRule="auto"/>
        <w:ind w:left="1080"/>
        <w:jc w:val="both"/>
        <w:rPr>
          <w:rFonts w:eastAsia="Times New Roman" w:cstheme="minorHAnsi"/>
          <w:bCs/>
          <w:lang w:val="en-PH"/>
        </w:rPr>
      </w:pPr>
    </w:p>
    <w:p w14:paraId="1126220E" w14:textId="77777777" w:rsidR="00067855" w:rsidRDefault="00067855" w:rsidP="00572545">
      <w:pPr>
        <w:pStyle w:val="ListParagraph"/>
        <w:numPr>
          <w:ilvl w:val="0"/>
          <w:numId w:val="56"/>
        </w:numPr>
        <w:spacing w:after="0" w:line="240" w:lineRule="auto"/>
        <w:jc w:val="both"/>
        <w:rPr>
          <w:rFonts w:eastAsia="Times New Roman" w:cstheme="minorHAnsi"/>
          <w:bCs/>
          <w:lang w:val="en-PH"/>
        </w:rPr>
      </w:pPr>
      <w:r w:rsidRPr="00067855">
        <w:rPr>
          <w:rFonts w:eastAsia="Times New Roman" w:cstheme="minorHAnsi"/>
          <w:bCs/>
          <w:u w:val="single"/>
          <w:lang w:val="en-PH"/>
        </w:rPr>
        <w:t>Annual fee</w:t>
      </w:r>
      <w:r w:rsidRPr="00067855">
        <w:rPr>
          <w:rFonts w:eastAsia="Times New Roman" w:cstheme="minorHAnsi"/>
          <w:bCs/>
          <w:lang w:val="en-PH"/>
        </w:rPr>
        <w:t>: This fee is payable once the license has been granted and is based on the VASP's annual revenue. The annual fee is calculated on a sliding scale, with the current rates ranging from a minimum of £10,000 to a maximum of £400,000.</w:t>
      </w:r>
    </w:p>
    <w:p w14:paraId="36AE4A61" w14:textId="77777777" w:rsidR="00F17741" w:rsidRPr="00F17741" w:rsidRDefault="00F17741" w:rsidP="00F17741">
      <w:pPr>
        <w:spacing w:after="0" w:line="240" w:lineRule="auto"/>
        <w:jc w:val="both"/>
        <w:rPr>
          <w:rFonts w:eastAsia="Times New Roman" w:cstheme="minorHAnsi"/>
          <w:bCs/>
          <w:lang w:val="en-PH"/>
        </w:rPr>
      </w:pPr>
    </w:p>
    <w:p w14:paraId="7EF52F8D" w14:textId="77777777" w:rsidR="00067855" w:rsidRDefault="00067855" w:rsidP="00067855">
      <w:pPr>
        <w:spacing w:after="0" w:line="240" w:lineRule="auto"/>
        <w:ind w:left="360"/>
        <w:jc w:val="both"/>
        <w:rPr>
          <w:rFonts w:eastAsia="Times New Roman" w:cstheme="minorHAnsi"/>
          <w:bCs/>
          <w:lang w:val="en-PH"/>
        </w:rPr>
      </w:pPr>
      <w:r w:rsidRPr="00067855">
        <w:rPr>
          <w:rFonts w:eastAsia="Times New Roman" w:cstheme="minorHAnsi"/>
          <w:bCs/>
          <w:lang w:val="en-PH"/>
        </w:rPr>
        <w:t>It's worth noting that the GFSC may also impose additional fees for specific services, such as on-site inspections or investigations.</w:t>
      </w:r>
    </w:p>
    <w:p w14:paraId="48CCD29E" w14:textId="77777777" w:rsidR="00F17741" w:rsidRPr="00067855" w:rsidRDefault="00F17741" w:rsidP="00067855">
      <w:pPr>
        <w:spacing w:after="0" w:line="240" w:lineRule="auto"/>
        <w:ind w:left="360"/>
        <w:jc w:val="both"/>
        <w:rPr>
          <w:rFonts w:eastAsia="Times New Roman" w:cstheme="minorHAnsi"/>
          <w:bCs/>
          <w:lang w:val="en-PH"/>
        </w:rPr>
      </w:pPr>
    </w:p>
    <w:p w14:paraId="1F2E2478" w14:textId="77777777" w:rsidR="00067855" w:rsidRDefault="00067855" w:rsidP="003427DB">
      <w:pPr>
        <w:pStyle w:val="Heading2"/>
      </w:pPr>
      <w:bookmarkStart w:id="16" w:name="_Toc195261857"/>
      <w:r w:rsidRPr="00067855">
        <w:t>What are the main ongoing requirements for VASPs regulated in Gibraltar?</w:t>
      </w:r>
      <w:bookmarkEnd w:id="16"/>
      <w:r w:rsidRPr="00067855">
        <w:t xml:space="preserve"> </w:t>
      </w:r>
    </w:p>
    <w:p w14:paraId="71C13D02" w14:textId="77777777" w:rsidR="00F17741" w:rsidRPr="00067855" w:rsidRDefault="00F17741" w:rsidP="00067855">
      <w:pPr>
        <w:spacing w:after="0" w:line="240" w:lineRule="auto"/>
        <w:ind w:left="360"/>
        <w:jc w:val="both"/>
        <w:rPr>
          <w:rFonts w:eastAsia="Times New Roman" w:cstheme="minorHAnsi"/>
          <w:bCs/>
          <w:lang w:val="en-PH"/>
        </w:rPr>
      </w:pPr>
    </w:p>
    <w:p w14:paraId="4839C6F7" w14:textId="77777777" w:rsidR="00067855" w:rsidRDefault="00067855" w:rsidP="00067855">
      <w:pPr>
        <w:spacing w:after="0" w:line="240" w:lineRule="auto"/>
        <w:ind w:left="360"/>
        <w:jc w:val="both"/>
        <w:rPr>
          <w:rFonts w:eastAsia="Times New Roman" w:cstheme="minorHAnsi"/>
          <w:bCs/>
          <w:lang w:val="en-PH"/>
        </w:rPr>
      </w:pPr>
      <w:r w:rsidRPr="00067855">
        <w:rPr>
          <w:rFonts w:eastAsia="Times New Roman" w:cstheme="minorHAnsi"/>
          <w:bCs/>
          <w:lang w:val="en-PH"/>
        </w:rPr>
        <w:t>The main ongoing requirements for VASPs regulated in Gibraltar include:</w:t>
      </w:r>
    </w:p>
    <w:p w14:paraId="66F4F2DC" w14:textId="77777777" w:rsidR="00F17741" w:rsidRPr="00067855" w:rsidRDefault="00F17741" w:rsidP="00067855">
      <w:pPr>
        <w:spacing w:after="0" w:line="240" w:lineRule="auto"/>
        <w:ind w:left="360"/>
        <w:jc w:val="both"/>
        <w:rPr>
          <w:rFonts w:eastAsia="Times New Roman" w:cstheme="minorHAnsi"/>
          <w:bCs/>
          <w:lang w:val="en-PH"/>
        </w:rPr>
      </w:pPr>
    </w:p>
    <w:p w14:paraId="6B92D47C" w14:textId="77777777" w:rsidR="00067855" w:rsidRDefault="00067855" w:rsidP="00CC27A9">
      <w:pPr>
        <w:pStyle w:val="ListParagraph"/>
        <w:numPr>
          <w:ilvl w:val="0"/>
          <w:numId w:val="57"/>
        </w:numPr>
        <w:spacing w:after="0" w:line="240" w:lineRule="auto"/>
        <w:jc w:val="both"/>
        <w:rPr>
          <w:rFonts w:eastAsia="Times New Roman" w:cstheme="minorHAnsi"/>
          <w:bCs/>
          <w:lang w:val="en-PH"/>
        </w:rPr>
      </w:pPr>
      <w:r w:rsidRPr="00067855">
        <w:rPr>
          <w:rFonts w:eastAsia="Times New Roman" w:cstheme="minorHAnsi"/>
          <w:bCs/>
          <w:u w:val="single"/>
          <w:lang w:val="en-PH"/>
        </w:rPr>
        <w:t>Compliance with AML/CFT regulations</w:t>
      </w:r>
      <w:r w:rsidRPr="00067855">
        <w:rPr>
          <w:rFonts w:eastAsia="Times New Roman" w:cstheme="minorHAnsi"/>
          <w:bCs/>
          <w:lang w:val="en-PH"/>
        </w:rPr>
        <w:t>: VASPs must have appropriate policies, procedures, and controls in place to prevent money laundering and terrorist financing. This includes conducting customer due diligence, monitoring transactions, and reporting suspicious activity to the relevant authorities.</w:t>
      </w:r>
    </w:p>
    <w:p w14:paraId="27411FAD" w14:textId="77777777" w:rsidR="00172535" w:rsidRPr="00067855" w:rsidRDefault="00172535" w:rsidP="00CC27A9">
      <w:pPr>
        <w:pStyle w:val="ListParagraph"/>
        <w:spacing w:after="0" w:line="240" w:lineRule="auto"/>
        <w:ind w:left="1080"/>
        <w:jc w:val="both"/>
        <w:rPr>
          <w:rFonts w:eastAsia="Times New Roman" w:cstheme="minorHAnsi"/>
          <w:bCs/>
          <w:lang w:val="en-PH"/>
        </w:rPr>
      </w:pPr>
    </w:p>
    <w:p w14:paraId="7AEE8251" w14:textId="77777777" w:rsidR="00067855" w:rsidRDefault="00067855" w:rsidP="00CC27A9">
      <w:pPr>
        <w:pStyle w:val="ListParagraph"/>
        <w:numPr>
          <w:ilvl w:val="0"/>
          <w:numId w:val="57"/>
        </w:numPr>
        <w:spacing w:after="0" w:line="240" w:lineRule="auto"/>
        <w:jc w:val="both"/>
        <w:rPr>
          <w:rFonts w:eastAsia="Times New Roman" w:cstheme="minorHAnsi"/>
          <w:bCs/>
          <w:lang w:val="en-PH"/>
        </w:rPr>
      </w:pPr>
      <w:r w:rsidRPr="00067855">
        <w:rPr>
          <w:rFonts w:eastAsia="Times New Roman" w:cstheme="minorHAnsi"/>
          <w:bCs/>
          <w:u w:val="single"/>
          <w:lang w:val="en-PH"/>
        </w:rPr>
        <w:t>Maintenance of adequate financial and non-financial resources</w:t>
      </w:r>
      <w:r w:rsidRPr="00067855">
        <w:rPr>
          <w:rFonts w:eastAsia="Times New Roman" w:cstheme="minorHAnsi"/>
          <w:bCs/>
          <w:lang w:val="en-PH"/>
        </w:rPr>
        <w:t>: VASPs must maintain sufficient financial and non-financial resources to support their business operations and meet their regulatory obligations. This includes maintaining adequate capital, insurance, and liquidity.</w:t>
      </w:r>
    </w:p>
    <w:p w14:paraId="3C868613" w14:textId="77777777" w:rsidR="00172535" w:rsidRPr="00172535" w:rsidRDefault="00172535" w:rsidP="00CC27A9">
      <w:pPr>
        <w:spacing w:after="0" w:line="240" w:lineRule="auto"/>
        <w:jc w:val="both"/>
        <w:rPr>
          <w:rFonts w:eastAsia="Times New Roman" w:cstheme="minorHAnsi"/>
          <w:bCs/>
          <w:lang w:val="en-PH"/>
        </w:rPr>
      </w:pPr>
    </w:p>
    <w:p w14:paraId="2B0A6592" w14:textId="77777777" w:rsidR="00067855" w:rsidRDefault="00067855" w:rsidP="00CC27A9">
      <w:pPr>
        <w:pStyle w:val="ListParagraph"/>
        <w:numPr>
          <w:ilvl w:val="0"/>
          <w:numId w:val="57"/>
        </w:numPr>
        <w:spacing w:after="0" w:line="240" w:lineRule="auto"/>
        <w:jc w:val="both"/>
        <w:rPr>
          <w:rFonts w:eastAsia="Times New Roman" w:cstheme="minorHAnsi"/>
          <w:bCs/>
          <w:lang w:val="en-PH"/>
        </w:rPr>
      </w:pPr>
      <w:r w:rsidRPr="00067855">
        <w:rPr>
          <w:rFonts w:eastAsia="Times New Roman" w:cstheme="minorHAnsi"/>
          <w:bCs/>
          <w:u w:val="single"/>
          <w:lang w:val="en-PH"/>
        </w:rPr>
        <w:lastRenderedPageBreak/>
        <w:t>Implementation of appropriate risk management systems and controls</w:t>
      </w:r>
      <w:r w:rsidRPr="00067855">
        <w:rPr>
          <w:rFonts w:eastAsia="Times New Roman" w:cstheme="minorHAnsi"/>
          <w:bCs/>
          <w:lang w:val="en-PH"/>
        </w:rPr>
        <w:t>: VASPs must have appropriate risk management systems and controls in place to identify, assess, and manage risks associated with their business operations. This includes implementing appropriate IT systems and security measures to protect customer data and assets.</w:t>
      </w:r>
    </w:p>
    <w:p w14:paraId="62EB121C" w14:textId="77777777" w:rsidR="00172535" w:rsidRPr="00172535" w:rsidRDefault="00172535" w:rsidP="00CC27A9">
      <w:pPr>
        <w:spacing w:after="0" w:line="240" w:lineRule="auto"/>
        <w:jc w:val="both"/>
        <w:rPr>
          <w:rFonts w:eastAsia="Times New Roman" w:cstheme="minorHAnsi"/>
          <w:bCs/>
          <w:lang w:val="en-PH"/>
        </w:rPr>
      </w:pPr>
    </w:p>
    <w:p w14:paraId="48E76D87" w14:textId="77777777" w:rsidR="00067855" w:rsidRDefault="00067855" w:rsidP="00CC27A9">
      <w:pPr>
        <w:pStyle w:val="ListParagraph"/>
        <w:numPr>
          <w:ilvl w:val="0"/>
          <w:numId w:val="57"/>
        </w:numPr>
        <w:spacing w:after="0" w:line="240" w:lineRule="auto"/>
        <w:jc w:val="both"/>
        <w:rPr>
          <w:rFonts w:eastAsia="Times New Roman" w:cstheme="minorHAnsi"/>
          <w:bCs/>
          <w:lang w:val="en-PH"/>
        </w:rPr>
      </w:pPr>
      <w:r w:rsidRPr="00067855">
        <w:rPr>
          <w:rFonts w:eastAsia="Times New Roman" w:cstheme="minorHAnsi"/>
          <w:bCs/>
          <w:u w:val="single"/>
          <w:lang w:val="en-PH"/>
        </w:rPr>
        <w:t>Compliance with regulatory principles and guidance</w:t>
      </w:r>
      <w:r w:rsidRPr="00067855">
        <w:rPr>
          <w:rFonts w:eastAsia="Times New Roman" w:cstheme="minorHAnsi"/>
          <w:bCs/>
          <w:lang w:val="en-PH"/>
        </w:rPr>
        <w:t>: VASPs must comply with the 9 core principles and 10 guidance notes issued by the GFSC. This includes conducting business with honesty, integrity, and fairness, and having proper controls and governance arrangements in place.</w:t>
      </w:r>
    </w:p>
    <w:p w14:paraId="3AE89DE9" w14:textId="77777777" w:rsidR="00172535" w:rsidRPr="00172535" w:rsidRDefault="00172535" w:rsidP="00CC27A9">
      <w:pPr>
        <w:spacing w:after="0" w:line="240" w:lineRule="auto"/>
        <w:jc w:val="both"/>
        <w:rPr>
          <w:rFonts w:eastAsia="Times New Roman" w:cstheme="minorHAnsi"/>
          <w:bCs/>
          <w:lang w:val="en-PH"/>
        </w:rPr>
      </w:pPr>
    </w:p>
    <w:p w14:paraId="7161A590" w14:textId="77777777" w:rsidR="00067855" w:rsidRDefault="00067855" w:rsidP="00CC27A9">
      <w:pPr>
        <w:pStyle w:val="ListParagraph"/>
        <w:numPr>
          <w:ilvl w:val="0"/>
          <w:numId w:val="57"/>
        </w:numPr>
        <w:spacing w:after="0" w:line="240" w:lineRule="auto"/>
        <w:jc w:val="both"/>
        <w:rPr>
          <w:rFonts w:eastAsia="Times New Roman" w:cstheme="minorHAnsi"/>
          <w:bCs/>
          <w:lang w:val="en-PH"/>
        </w:rPr>
      </w:pPr>
      <w:r w:rsidRPr="00067855">
        <w:rPr>
          <w:rFonts w:eastAsia="Times New Roman" w:cstheme="minorHAnsi"/>
          <w:bCs/>
          <w:u w:val="single"/>
          <w:lang w:val="en-PH"/>
        </w:rPr>
        <w:t>Reporting and disclosure requirements</w:t>
      </w:r>
      <w:r w:rsidRPr="00067855">
        <w:rPr>
          <w:rFonts w:eastAsia="Times New Roman" w:cstheme="minorHAnsi"/>
          <w:bCs/>
          <w:lang w:val="en-PH"/>
        </w:rPr>
        <w:t>: VASPs must comply with ongoing reporting and disclosure requirements, including submitting annual financial statements, regulatory returns, and other reports as required by the GFSC.</w:t>
      </w:r>
    </w:p>
    <w:p w14:paraId="6DB9BD79" w14:textId="77777777" w:rsidR="00172535" w:rsidRPr="00172535" w:rsidRDefault="00172535" w:rsidP="00CC27A9">
      <w:pPr>
        <w:spacing w:after="0" w:line="240" w:lineRule="auto"/>
        <w:jc w:val="both"/>
        <w:rPr>
          <w:rFonts w:eastAsia="Times New Roman" w:cstheme="minorHAnsi"/>
          <w:bCs/>
          <w:lang w:val="en-PH"/>
        </w:rPr>
      </w:pPr>
    </w:p>
    <w:p w14:paraId="4A197721" w14:textId="77777777" w:rsidR="00067855" w:rsidRDefault="00067855" w:rsidP="00CC27A9">
      <w:pPr>
        <w:pStyle w:val="ListParagraph"/>
        <w:numPr>
          <w:ilvl w:val="0"/>
          <w:numId w:val="57"/>
        </w:numPr>
        <w:spacing w:after="0" w:line="240" w:lineRule="auto"/>
        <w:jc w:val="both"/>
        <w:rPr>
          <w:rFonts w:eastAsia="Times New Roman" w:cstheme="minorHAnsi"/>
          <w:bCs/>
          <w:lang w:val="en-PH"/>
        </w:rPr>
      </w:pPr>
      <w:r w:rsidRPr="00067855">
        <w:rPr>
          <w:rFonts w:eastAsia="Times New Roman" w:cstheme="minorHAnsi"/>
          <w:bCs/>
          <w:u w:val="single"/>
          <w:lang w:val="en-PH"/>
        </w:rPr>
        <w:t>Record-keeping requirements</w:t>
      </w:r>
      <w:r w:rsidRPr="00067855">
        <w:rPr>
          <w:rFonts w:eastAsia="Times New Roman" w:cstheme="minorHAnsi"/>
          <w:bCs/>
          <w:lang w:val="en-PH"/>
        </w:rPr>
        <w:t>: VASPs must maintain accurate and complete records of their business operations, including customer information, transactions, and financial records.</w:t>
      </w:r>
    </w:p>
    <w:p w14:paraId="5AC27C12" w14:textId="77777777" w:rsidR="00172535" w:rsidRPr="00172535" w:rsidRDefault="00172535" w:rsidP="00172535">
      <w:pPr>
        <w:spacing w:after="0" w:line="240" w:lineRule="auto"/>
        <w:jc w:val="both"/>
        <w:rPr>
          <w:rFonts w:eastAsia="Times New Roman" w:cstheme="minorHAnsi"/>
          <w:bCs/>
          <w:lang w:val="en-PH"/>
        </w:rPr>
      </w:pPr>
    </w:p>
    <w:p w14:paraId="4DFC0388" w14:textId="77777777" w:rsidR="00067855" w:rsidRDefault="00067855" w:rsidP="003427DB">
      <w:pPr>
        <w:pStyle w:val="Heading2"/>
      </w:pPr>
      <w:bookmarkStart w:id="17" w:name="_Toc195261858"/>
      <w:r w:rsidRPr="00067855">
        <w:t>What are the main restrictions on VASPs in Gibraltar?</w:t>
      </w:r>
      <w:bookmarkEnd w:id="17"/>
    </w:p>
    <w:p w14:paraId="69631FCA" w14:textId="77777777" w:rsidR="00172535" w:rsidRPr="00067855" w:rsidRDefault="00172535" w:rsidP="00067855">
      <w:pPr>
        <w:spacing w:after="0" w:line="240" w:lineRule="auto"/>
        <w:ind w:left="360"/>
        <w:jc w:val="both"/>
        <w:rPr>
          <w:rFonts w:eastAsia="Times New Roman" w:cstheme="minorHAnsi"/>
          <w:bCs/>
          <w:lang w:val="en-PH"/>
        </w:rPr>
      </w:pPr>
    </w:p>
    <w:p w14:paraId="58204A60" w14:textId="77777777" w:rsidR="00067855" w:rsidRDefault="00067855" w:rsidP="00067855">
      <w:pPr>
        <w:spacing w:after="0" w:line="240" w:lineRule="auto"/>
        <w:ind w:left="360"/>
        <w:jc w:val="both"/>
        <w:rPr>
          <w:rFonts w:eastAsia="Times New Roman" w:cstheme="minorHAnsi"/>
          <w:bCs/>
          <w:lang w:val="en-PH"/>
        </w:rPr>
      </w:pPr>
      <w:r w:rsidRPr="00067855">
        <w:rPr>
          <w:rFonts w:eastAsia="Times New Roman" w:cstheme="minorHAnsi"/>
          <w:bCs/>
          <w:lang w:val="en-PH"/>
        </w:rPr>
        <w:t>The main restrictions on VASPs in Gibraltar are as follows:</w:t>
      </w:r>
    </w:p>
    <w:p w14:paraId="6EE4ACCE" w14:textId="77777777" w:rsidR="00172535" w:rsidRPr="00067855" w:rsidRDefault="00172535" w:rsidP="00067855">
      <w:pPr>
        <w:spacing w:after="0" w:line="240" w:lineRule="auto"/>
        <w:ind w:left="360"/>
        <w:jc w:val="both"/>
        <w:rPr>
          <w:rFonts w:eastAsia="Times New Roman" w:cstheme="minorHAnsi"/>
          <w:bCs/>
          <w:lang w:val="en-PH"/>
        </w:rPr>
      </w:pPr>
    </w:p>
    <w:p w14:paraId="69D23A23" w14:textId="77777777" w:rsidR="00067855" w:rsidRDefault="00067855" w:rsidP="00CC27A9">
      <w:pPr>
        <w:pStyle w:val="ListParagraph"/>
        <w:numPr>
          <w:ilvl w:val="0"/>
          <w:numId w:val="58"/>
        </w:numPr>
        <w:spacing w:after="0" w:line="240" w:lineRule="auto"/>
        <w:jc w:val="both"/>
        <w:rPr>
          <w:rFonts w:eastAsia="Times New Roman" w:cstheme="minorHAnsi"/>
          <w:bCs/>
          <w:lang w:val="en-PH"/>
        </w:rPr>
      </w:pPr>
      <w:r w:rsidRPr="00067855">
        <w:rPr>
          <w:rFonts w:eastAsia="Times New Roman" w:cstheme="minorHAnsi"/>
          <w:bCs/>
          <w:u w:val="single"/>
          <w:lang w:val="en-PH"/>
        </w:rPr>
        <w:t>Prohibited activities</w:t>
      </w:r>
      <w:r w:rsidRPr="00067855">
        <w:rPr>
          <w:rFonts w:eastAsia="Times New Roman" w:cstheme="minorHAnsi"/>
          <w:bCs/>
          <w:lang w:val="en-PH"/>
        </w:rPr>
        <w:t>: VASPs are prohibited from engaging in certain activities, such as providing investment advice or managing investments on behalf of customers, unless they hold additional authorisations or licenses.</w:t>
      </w:r>
    </w:p>
    <w:p w14:paraId="35D8DDCB" w14:textId="77777777" w:rsidR="00172535" w:rsidRPr="00067855" w:rsidRDefault="00172535" w:rsidP="00CC27A9">
      <w:pPr>
        <w:pStyle w:val="ListParagraph"/>
        <w:spacing w:after="0" w:line="240" w:lineRule="auto"/>
        <w:ind w:left="1080"/>
        <w:jc w:val="both"/>
        <w:rPr>
          <w:rFonts w:eastAsia="Times New Roman" w:cstheme="minorHAnsi"/>
          <w:bCs/>
          <w:lang w:val="en-PH"/>
        </w:rPr>
      </w:pPr>
    </w:p>
    <w:p w14:paraId="410D34D2" w14:textId="77777777" w:rsidR="00067855" w:rsidRDefault="00067855" w:rsidP="00CC27A9">
      <w:pPr>
        <w:pStyle w:val="ListParagraph"/>
        <w:numPr>
          <w:ilvl w:val="0"/>
          <w:numId w:val="58"/>
        </w:numPr>
        <w:spacing w:after="0" w:line="240" w:lineRule="auto"/>
        <w:jc w:val="both"/>
        <w:rPr>
          <w:rFonts w:eastAsia="Times New Roman" w:cstheme="minorHAnsi"/>
          <w:bCs/>
          <w:lang w:val="en-PH"/>
        </w:rPr>
      </w:pPr>
      <w:r w:rsidRPr="00067855">
        <w:rPr>
          <w:rFonts w:eastAsia="Times New Roman" w:cstheme="minorHAnsi"/>
          <w:bCs/>
          <w:u w:val="single"/>
          <w:lang w:val="en-PH"/>
        </w:rPr>
        <w:t>AML/CFT compliance</w:t>
      </w:r>
      <w:r w:rsidRPr="00067855">
        <w:rPr>
          <w:rFonts w:eastAsia="Times New Roman" w:cstheme="minorHAnsi"/>
          <w:bCs/>
          <w:lang w:val="en-PH"/>
        </w:rPr>
        <w:t>: VASPs must comply with AML/CFT regulations, including conducting customer due diligence, monitoring transactions, and reporting suspicious activity to the relevant authorities.</w:t>
      </w:r>
    </w:p>
    <w:p w14:paraId="2BA780BE" w14:textId="77777777" w:rsidR="00172535" w:rsidRPr="00172535" w:rsidRDefault="00172535" w:rsidP="00CC27A9">
      <w:pPr>
        <w:spacing w:after="0" w:line="240" w:lineRule="auto"/>
        <w:jc w:val="both"/>
        <w:rPr>
          <w:rFonts w:eastAsia="Times New Roman" w:cstheme="minorHAnsi"/>
          <w:bCs/>
          <w:lang w:val="en-PH"/>
        </w:rPr>
      </w:pPr>
    </w:p>
    <w:p w14:paraId="32B0298B" w14:textId="77777777" w:rsidR="00067855" w:rsidRDefault="00067855" w:rsidP="00CC27A9">
      <w:pPr>
        <w:pStyle w:val="ListParagraph"/>
        <w:numPr>
          <w:ilvl w:val="0"/>
          <w:numId w:val="58"/>
        </w:numPr>
        <w:spacing w:after="0" w:line="240" w:lineRule="auto"/>
        <w:jc w:val="both"/>
        <w:rPr>
          <w:rFonts w:eastAsia="Times New Roman" w:cstheme="minorHAnsi"/>
          <w:bCs/>
          <w:lang w:val="en-PH"/>
        </w:rPr>
      </w:pPr>
      <w:r w:rsidRPr="00067855">
        <w:rPr>
          <w:rFonts w:eastAsia="Times New Roman" w:cstheme="minorHAnsi"/>
          <w:bCs/>
          <w:u w:val="single"/>
          <w:lang w:val="en-PH"/>
        </w:rPr>
        <w:t>Customer due diligence</w:t>
      </w:r>
      <w:r w:rsidRPr="00067855">
        <w:rPr>
          <w:rFonts w:eastAsia="Times New Roman" w:cstheme="minorHAnsi"/>
          <w:bCs/>
          <w:lang w:val="en-PH"/>
        </w:rPr>
        <w:t>: VASPs must conduct appropriate customer due diligence measures to verify the identity of their customers and assess the risks associated with their business relationships.</w:t>
      </w:r>
    </w:p>
    <w:p w14:paraId="1BFC9983" w14:textId="77777777" w:rsidR="00172535" w:rsidRPr="00172535" w:rsidRDefault="00172535" w:rsidP="00CC27A9">
      <w:pPr>
        <w:spacing w:after="0" w:line="240" w:lineRule="auto"/>
        <w:jc w:val="both"/>
        <w:rPr>
          <w:rFonts w:eastAsia="Times New Roman" w:cstheme="minorHAnsi"/>
          <w:bCs/>
          <w:lang w:val="en-PH"/>
        </w:rPr>
      </w:pPr>
    </w:p>
    <w:p w14:paraId="2B367763" w14:textId="77777777" w:rsidR="00067855" w:rsidRDefault="00067855" w:rsidP="00CC27A9">
      <w:pPr>
        <w:pStyle w:val="ListParagraph"/>
        <w:numPr>
          <w:ilvl w:val="0"/>
          <w:numId w:val="58"/>
        </w:numPr>
        <w:spacing w:after="0" w:line="240" w:lineRule="auto"/>
        <w:jc w:val="both"/>
        <w:rPr>
          <w:rFonts w:eastAsia="Times New Roman" w:cstheme="minorHAnsi"/>
          <w:bCs/>
          <w:lang w:val="en-PH"/>
        </w:rPr>
      </w:pPr>
      <w:r w:rsidRPr="00067855">
        <w:rPr>
          <w:rFonts w:eastAsia="Times New Roman" w:cstheme="minorHAnsi"/>
          <w:bCs/>
          <w:u w:val="single"/>
          <w:lang w:val="en-PH"/>
        </w:rPr>
        <w:t>Risk management</w:t>
      </w:r>
      <w:r w:rsidRPr="00067855">
        <w:rPr>
          <w:rFonts w:eastAsia="Times New Roman" w:cstheme="minorHAnsi"/>
          <w:bCs/>
          <w:lang w:val="en-PH"/>
        </w:rPr>
        <w:t>: VASPs must implement appropriate risk management systems and controls to identify, assess, and manage risks associated with their business operations.</w:t>
      </w:r>
    </w:p>
    <w:p w14:paraId="0925AABA" w14:textId="77777777" w:rsidR="00172535" w:rsidRPr="00172535" w:rsidRDefault="00172535" w:rsidP="00CC27A9">
      <w:pPr>
        <w:spacing w:after="0" w:line="240" w:lineRule="auto"/>
        <w:jc w:val="both"/>
        <w:rPr>
          <w:rFonts w:eastAsia="Times New Roman" w:cstheme="minorHAnsi"/>
          <w:bCs/>
          <w:lang w:val="en-PH"/>
        </w:rPr>
      </w:pPr>
    </w:p>
    <w:p w14:paraId="638EEC27" w14:textId="77777777" w:rsidR="00067855" w:rsidRDefault="00067855" w:rsidP="00CC27A9">
      <w:pPr>
        <w:pStyle w:val="ListParagraph"/>
        <w:numPr>
          <w:ilvl w:val="0"/>
          <w:numId w:val="58"/>
        </w:numPr>
        <w:spacing w:after="0" w:line="240" w:lineRule="auto"/>
        <w:jc w:val="both"/>
        <w:rPr>
          <w:rFonts w:eastAsia="Times New Roman" w:cstheme="minorHAnsi"/>
          <w:bCs/>
          <w:lang w:val="en-PH"/>
        </w:rPr>
      </w:pPr>
      <w:r w:rsidRPr="00067855">
        <w:rPr>
          <w:rFonts w:eastAsia="Times New Roman" w:cstheme="minorHAnsi"/>
          <w:bCs/>
          <w:u w:val="single"/>
          <w:lang w:val="en-PH"/>
        </w:rPr>
        <w:t>IT security</w:t>
      </w:r>
      <w:r w:rsidRPr="00067855">
        <w:rPr>
          <w:rFonts w:eastAsia="Times New Roman" w:cstheme="minorHAnsi"/>
          <w:bCs/>
          <w:lang w:val="en-PH"/>
        </w:rPr>
        <w:t>: VASPs must implement appropriate IT security measures to protect customer data and assets, and to ensure the integrity and availability of their systems.</w:t>
      </w:r>
    </w:p>
    <w:p w14:paraId="72F5543A" w14:textId="77777777" w:rsidR="00172535" w:rsidRPr="00172535" w:rsidRDefault="00172535" w:rsidP="00CC27A9">
      <w:pPr>
        <w:spacing w:after="0" w:line="240" w:lineRule="auto"/>
        <w:ind w:left="720"/>
        <w:jc w:val="both"/>
        <w:rPr>
          <w:rFonts w:eastAsia="Times New Roman" w:cstheme="minorHAnsi"/>
          <w:bCs/>
          <w:lang w:val="en-PH"/>
        </w:rPr>
      </w:pPr>
    </w:p>
    <w:p w14:paraId="7D06702D" w14:textId="77777777" w:rsidR="00067855" w:rsidRDefault="00067855" w:rsidP="00CC27A9">
      <w:pPr>
        <w:pStyle w:val="ListParagraph"/>
        <w:numPr>
          <w:ilvl w:val="0"/>
          <w:numId w:val="58"/>
        </w:numPr>
        <w:spacing w:after="0" w:line="240" w:lineRule="auto"/>
        <w:jc w:val="both"/>
        <w:rPr>
          <w:rFonts w:eastAsia="Times New Roman" w:cstheme="minorHAnsi"/>
          <w:bCs/>
          <w:lang w:val="en-PH"/>
        </w:rPr>
      </w:pPr>
      <w:r w:rsidRPr="00067855">
        <w:rPr>
          <w:rFonts w:eastAsia="Times New Roman" w:cstheme="minorHAnsi"/>
          <w:bCs/>
          <w:u w:val="single"/>
          <w:lang w:val="en-PH"/>
        </w:rPr>
        <w:t>Conflicts of interest</w:t>
      </w:r>
      <w:r w:rsidRPr="00067855">
        <w:rPr>
          <w:rFonts w:eastAsia="Times New Roman" w:cstheme="minorHAnsi"/>
          <w:bCs/>
          <w:lang w:val="en-PH"/>
        </w:rPr>
        <w:t>: VASPs must have policies and procedures in place to identify and manage conflicts of interest, and to ensure that they act in the best interests of their customers.</w:t>
      </w:r>
    </w:p>
    <w:p w14:paraId="4164F016" w14:textId="77777777" w:rsidR="00172535" w:rsidRPr="00172535" w:rsidRDefault="00172535" w:rsidP="00CC27A9">
      <w:pPr>
        <w:spacing w:after="0" w:line="240" w:lineRule="auto"/>
        <w:jc w:val="both"/>
        <w:rPr>
          <w:rFonts w:eastAsia="Times New Roman" w:cstheme="minorHAnsi"/>
          <w:bCs/>
          <w:lang w:val="en-PH"/>
        </w:rPr>
      </w:pPr>
    </w:p>
    <w:p w14:paraId="7B0A70A5" w14:textId="77777777" w:rsidR="00067855" w:rsidRDefault="00067855" w:rsidP="00CC27A9">
      <w:pPr>
        <w:pStyle w:val="ListParagraph"/>
        <w:numPr>
          <w:ilvl w:val="0"/>
          <w:numId w:val="58"/>
        </w:numPr>
        <w:spacing w:after="0" w:line="240" w:lineRule="auto"/>
        <w:jc w:val="both"/>
        <w:rPr>
          <w:rFonts w:eastAsia="Times New Roman" w:cstheme="minorHAnsi"/>
          <w:bCs/>
          <w:lang w:val="en-PH"/>
        </w:rPr>
      </w:pPr>
      <w:r w:rsidRPr="00067855">
        <w:rPr>
          <w:rFonts w:eastAsia="Times New Roman" w:cstheme="minorHAnsi"/>
          <w:bCs/>
          <w:u w:val="single"/>
          <w:lang w:val="en-PH"/>
        </w:rPr>
        <w:t>Marketing and advertising</w:t>
      </w:r>
      <w:r w:rsidRPr="00067855">
        <w:rPr>
          <w:rFonts w:eastAsia="Times New Roman" w:cstheme="minorHAnsi"/>
          <w:bCs/>
          <w:lang w:val="en-PH"/>
        </w:rPr>
        <w:t>: VASPs must ensure that their marketing and advertising materials are clear, fair, and not misleading, and that they comply with all relevant regulations and guidance.</w:t>
      </w:r>
    </w:p>
    <w:p w14:paraId="27C7FDEB" w14:textId="77777777" w:rsidR="00172535" w:rsidRPr="00172535" w:rsidRDefault="00172535" w:rsidP="00CC27A9">
      <w:pPr>
        <w:spacing w:after="0" w:line="240" w:lineRule="auto"/>
        <w:jc w:val="both"/>
        <w:rPr>
          <w:rFonts w:eastAsia="Times New Roman" w:cstheme="minorHAnsi"/>
          <w:bCs/>
          <w:lang w:val="en-PH"/>
        </w:rPr>
      </w:pPr>
    </w:p>
    <w:p w14:paraId="5A906559" w14:textId="77777777" w:rsidR="00067855" w:rsidRDefault="00067855" w:rsidP="00CC27A9">
      <w:pPr>
        <w:pStyle w:val="ListParagraph"/>
        <w:numPr>
          <w:ilvl w:val="0"/>
          <w:numId w:val="58"/>
        </w:numPr>
        <w:spacing w:after="0" w:line="240" w:lineRule="auto"/>
        <w:jc w:val="both"/>
        <w:rPr>
          <w:rFonts w:eastAsia="Times New Roman" w:cstheme="minorHAnsi"/>
          <w:bCs/>
          <w:lang w:val="en-PH"/>
        </w:rPr>
      </w:pPr>
      <w:r w:rsidRPr="00067855">
        <w:rPr>
          <w:rFonts w:eastAsia="Times New Roman" w:cstheme="minorHAnsi"/>
          <w:bCs/>
          <w:u w:val="single"/>
          <w:lang w:val="en-PH"/>
        </w:rPr>
        <w:t>Record-keeping</w:t>
      </w:r>
      <w:r w:rsidRPr="00067855">
        <w:rPr>
          <w:rFonts w:eastAsia="Times New Roman" w:cstheme="minorHAnsi"/>
          <w:bCs/>
          <w:lang w:val="en-PH"/>
        </w:rPr>
        <w:t>: VASPs must maintain accurate and complete records of their business operations, including customer information, transactions, and financial records.</w:t>
      </w:r>
    </w:p>
    <w:p w14:paraId="6E132856" w14:textId="77777777" w:rsidR="00172535" w:rsidRPr="00172535" w:rsidRDefault="00172535" w:rsidP="00CC27A9">
      <w:pPr>
        <w:spacing w:after="0" w:line="240" w:lineRule="auto"/>
        <w:jc w:val="both"/>
        <w:rPr>
          <w:rFonts w:eastAsia="Times New Roman" w:cstheme="minorHAnsi"/>
          <w:bCs/>
          <w:lang w:val="en-PH"/>
        </w:rPr>
      </w:pPr>
    </w:p>
    <w:p w14:paraId="708CE776" w14:textId="77777777" w:rsidR="00067855" w:rsidRDefault="00067855" w:rsidP="00CC27A9">
      <w:pPr>
        <w:pStyle w:val="ListParagraph"/>
        <w:numPr>
          <w:ilvl w:val="0"/>
          <w:numId w:val="58"/>
        </w:numPr>
        <w:spacing w:after="0" w:line="240" w:lineRule="auto"/>
        <w:jc w:val="both"/>
        <w:rPr>
          <w:rFonts w:eastAsia="Times New Roman" w:cstheme="minorHAnsi"/>
          <w:bCs/>
          <w:lang w:val="en-PH"/>
        </w:rPr>
      </w:pPr>
      <w:r w:rsidRPr="00067855">
        <w:rPr>
          <w:rFonts w:eastAsia="Times New Roman" w:cstheme="minorHAnsi"/>
          <w:bCs/>
          <w:u w:val="single"/>
          <w:lang w:val="en-PH"/>
        </w:rPr>
        <w:t>Reporting and disclosure</w:t>
      </w:r>
      <w:r w:rsidRPr="00067855">
        <w:rPr>
          <w:rFonts w:eastAsia="Times New Roman" w:cstheme="minorHAnsi"/>
          <w:bCs/>
          <w:lang w:val="en-PH"/>
        </w:rPr>
        <w:t>: VASPs must comply with ongoing reporting and disclosure requirements, including submitting annual financial statements, regulatory returns, and other reports as required by the GFSC.</w:t>
      </w:r>
    </w:p>
    <w:p w14:paraId="296491D4" w14:textId="77777777" w:rsidR="00172535" w:rsidRPr="00172535" w:rsidRDefault="00172535" w:rsidP="00172535">
      <w:pPr>
        <w:spacing w:after="0" w:line="240" w:lineRule="auto"/>
        <w:jc w:val="both"/>
        <w:rPr>
          <w:rFonts w:eastAsia="Times New Roman" w:cstheme="minorHAnsi"/>
          <w:bCs/>
          <w:lang w:val="en-PH"/>
        </w:rPr>
      </w:pPr>
    </w:p>
    <w:p w14:paraId="68989BCA" w14:textId="77777777" w:rsidR="00067855" w:rsidRDefault="00067855" w:rsidP="003427DB">
      <w:pPr>
        <w:pStyle w:val="Heading2"/>
      </w:pPr>
      <w:bookmarkStart w:id="18" w:name="_Toc195261859"/>
      <w:r w:rsidRPr="00067855">
        <w:t xml:space="preserve">What </w:t>
      </w:r>
      <w:proofErr w:type="gramStart"/>
      <w:r w:rsidRPr="00067855">
        <w:t>are</w:t>
      </w:r>
      <w:proofErr w:type="gramEnd"/>
      <w:r w:rsidRPr="00067855">
        <w:t xml:space="preserve"> the main information that VASPs </w:t>
      </w:r>
      <w:proofErr w:type="gramStart"/>
      <w:r w:rsidRPr="00067855">
        <w:t>have to</w:t>
      </w:r>
      <w:proofErr w:type="gramEnd"/>
      <w:r w:rsidRPr="00067855">
        <w:t xml:space="preserve"> make available to its customers?</w:t>
      </w:r>
      <w:bookmarkEnd w:id="18"/>
    </w:p>
    <w:p w14:paraId="538EC8E6" w14:textId="77777777" w:rsidR="00172535" w:rsidRPr="00067855" w:rsidRDefault="00172535" w:rsidP="00067855">
      <w:pPr>
        <w:spacing w:after="0" w:line="240" w:lineRule="auto"/>
        <w:ind w:left="360"/>
        <w:jc w:val="both"/>
        <w:rPr>
          <w:rFonts w:eastAsia="Times New Roman" w:cstheme="minorHAnsi"/>
          <w:bCs/>
          <w:lang w:val="en-PH"/>
        </w:rPr>
      </w:pPr>
    </w:p>
    <w:p w14:paraId="419D9363" w14:textId="77777777" w:rsidR="00067855" w:rsidRDefault="00067855" w:rsidP="00067855">
      <w:pPr>
        <w:spacing w:after="0" w:line="240" w:lineRule="auto"/>
        <w:ind w:left="360"/>
        <w:jc w:val="both"/>
        <w:rPr>
          <w:rFonts w:eastAsia="Times New Roman" w:cstheme="minorHAnsi"/>
          <w:bCs/>
          <w:lang w:val="en-PH"/>
        </w:rPr>
      </w:pPr>
      <w:r w:rsidRPr="00067855">
        <w:rPr>
          <w:rFonts w:eastAsia="Times New Roman" w:cstheme="minorHAnsi"/>
          <w:bCs/>
          <w:lang w:val="en-PH"/>
        </w:rPr>
        <w:t xml:space="preserve">The main information that VASPs </w:t>
      </w:r>
      <w:proofErr w:type="gramStart"/>
      <w:r w:rsidRPr="00067855">
        <w:rPr>
          <w:rFonts w:eastAsia="Times New Roman" w:cstheme="minorHAnsi"/>
          <w:bCs/>
          <w:lang w:val="en-PH"/>
        </w:rPr>
        <w:t>have to</w:t>
      </w:r>
      <w:proofErr w:type="gramEnd"/>
      <w:r w:rsidRPr="00067855">
        <w:rPr>
          <w:rFonts w:eastAsia="Times New Roman" w:cstheme="minorHAnsi"/>
          <w:bCs/>
          <w:lang w:val="en-PH"/>
        </w:rPr>
        <w:t xml:space="preserve"> make available to their customers in Gibraltar includes:</w:t>
      </w:r>
    </w:p>
    <w:p w14:paraId="3F7FA774" w14:textId="77777777" w:rsidR="00172535" w:rsidRPr="00067855" w:rsidRDefault="00172535" w:rsidP="00067855">
      <w:pPr>
        <w:spacing w:after="0" w:line="240" w:lineRule="auto"/>
        <w:ind w:left="360"/>
        <w:jc w:val="both"/>
        <w:rPr>
          <w:rFonts w:eastAsia="Times New Roman" w:cstheme="minorHAnsi"/>
          <w:bCs/>
          <w:lang w:val="en-PH"/>
        </w:rPr>
      </w:pPr>
    </w:p>
    <w:p w14:paraId="552C123B" w14:textId="77777777" w:rsidR="00067855" w:rsidRDefault="00067855" w:rsidP="00CC27A9">
      <w:pPr>
        <w:pStyle w:val="ListParagraph"/>
        <w:numPr>
          <w:ilvl w:val="0"/>
          <w:numId w:val="59"/>
        </w:numPr>
        <w:spacing w:after="0" w:line="240" w:lineRule="auto"/>
        <w:jc w:val="both"/>
        <w:rPr>
          <w:rFonts w:eastAsia="Times New Roman" w:cstheme="minorHAnsi"/>
          <w:bCs/>
          <w:lang w:val="en-PH"/>
        </w:rPr>
      </w:pPr>
      <w:r w:rsidRPr="00067855">
        <w:rPr>
          <w:rFonts w:eastAsia="Times New Roman" w:cstheme="minorHAnsi"/>
          <w:bCs/>
          <w:u w:val="single"/>
          <w:lang w:val="en-PH"/>
        </w:rPr>
        <w:t>Terms and conditions</w:t>
      </w:r>
      <w:r w:rsidRPr="00067855">
        <w:rPr>
          <w:rFonts w:eastAsia="Times New Roman" w:cstheme="minorHAnsi"/>
          <w:bCs/>
          <w:lang w:val="en-PH"/>
        </w:rPr>
        <w:t>: VASPs must provide their customers with clear and concise terms and conditions that outline the rights and obligations of both parties.</w:t>
      </w:r>
    </w:p>
    <w:p w14:paraId="2657E721" w14:textId="77777777" w:rsidR="00172535" w:rsidRPr="00067855" w:rsidRDefault="00172535" w:rsidP="00CC27A9">
      <w:pPr>
        <w:pStyle w:val="ListParagraph"/>
        <w:spacing w:after="0" w:line="240" w:lineRule="auto"/>
        <w:ind w:left="1080"/>
        <w:jc w:val="both"/>
        <w:rPr>
          <w:rFonts w:eastAsia="Times New Roman" w:cstheme="minorHAnsi"/>
          <w:bCs/>
          <w:lang w:val="en-PH"/>
        </w:rPr>
      </w:pPr>
    </w:p>
    <w:p w14:paraId="16C45666" w14:textId="77777777" w:rsidR="00067855" w:rsidRDefault="00067855" w:rsidP="00CC27A9">
      <w:pPr>
        <w:pStyle w:val="ListParagraph"/>
        <w:numPr>
          <w:ilvl w:val="0"/>
          <w:numId w:val="59"/>
        </w:numPr>
        <w:spacing w:after="0" w:line="240" w:lineRule="auto"/>
        <w:jc w:val="both"/>
        <w:rPr>
          <w:rFonts w:eastAsia="Times New Roman" w:cstheme="minorHAnsi"/>
          <w:bCs/>
          <w:lang w:val="en-PH"/>
        </w:rPr>
      </w:pPr>
      <w:r w:rsidRPr="00067855">
        <w:rPr>
          <w:rFonts w:eastAsia="Times New Roman" w:cstheme="minorHAnsi"/>
          <w:bCs/>
          <w:u w:val="single"/>
          <w:lang w:val="en-PH"/>
        </w:rPr>
        <w:t>Fees and charges</w:t>
      </w:r>
      <w:r w:rsidRPr="00067855">
        <w:rPr>
          <w:rFonts w:eastAsia="Times New Roman" w:cstheme="minorHAnsi"/>
          <w:bCs/>
          <w:lang w:val="en-PH"/>
        </w:rPr>
        <w:t>: VASPs must disclose all fees and charges associated with their services, including transaction fees, deposit and withdrawal fees, and any other charges.</w:t>
      </w:r>
    </w:p>
    <w:p w14:paraId="6DFE7891" w14:textId="77777777" w:rsidR="00172535" w:rsidRPr="00172535" w:rsidRDefault="00172535" w:rsidP="00CC27A9">
      <w:pPr>
        <w:spacing w:after="0" w:line="240" w:lineRule="auto"/>
        <w:jc w:val="both"/>
        <w:rPr>
          <w:rFonts w:eastAsia="Times New Roman" w:cstheme="minorHAnsi"/>
          <w:bCs/>
          <w:lang w:val="en-PH"/>
        </w:rPr>
      </w:pPr>
    </w:p>
    <w:p w14:paraId="05334F4A" w14:textId="77777777" w:rsidR="00067855" w:rsidRDefault="00067855" w:rsidP="00CC27A9">
      <w:pPr>
        <w:pStyle w:val="ListParagraph"/>
        <w:numPr>
          <w:ilvl w:val="0"/>
          <w:numId w:val="59"/>
        </w:numPr>
        <w:spacing w:after="0" w:line="240" w:lineRule="auto"/>
        <w:jc w:val="both"/>
        <w:rPr>
          <w:rFonts w:eastAsia="Times New Roman" w:cstheme="minorHAnsi"/>
          <w:bCs/>
          <w:lang w:val="en-PH"/>
        </w:rPr>
      </w:pPr>
      <w:r w:rsidRPr="00067855">
        <w:rPr>
          <w:rFonts w:eastAsia="Times New Roman" w:cstheme="minorHAnsi"/>
          <w:bCs/>
          <w:u w:val="single"/>
          <w:lang w:val="en-PH"/>
        </w:rPr>
        <w:t>Risks</w:t>
      </w:r>
      <w:r w:rsidRPr="00067855">
        <w:rPr>
          <w:rFonts w:eastAsia="Times New Roman" w:cstheme="minorHAnsi"/>
          <w:bCs/>
          <w:lang w:val="en-PH"/>
        </w:rPr>
        <w:t>: VASPs must provide their customers with clear and prominent warnings about the risks associated with virtual assets and the services provided by the VASP.</w:t>
      </w:r>
    </w:p>
    <w:p w14:paraId="6452F94A" w14:textId="77777777" w:rsidR="00172535" w:rsidRPr="00172535" w:rsidRDefault="00172535" w:rsidP="00CC27A9">
      <w:pPr>
        <w:spacing w:after="0" w:line="240" w:lineRule="auto"/>
        <w:jc w:val="both"/>
        <w:rPr>
          <w:rFonts w:eastAsia="Times New Roman" w:cstheme="minorHAnsi"/>
          <w:bCs/>
          <w:lang w:val="en-PH"/>
        </w:rPr>
      </w:pPr>
    </w:p>
    <w:p w14:paraId="1C758142" w14:textId="77777777" w:rsidR="00067855" w:rsidRDefault="00067855" w:rsidP="00CC27A9">
      <w:pPr>
        <w:pStyle w:val="ListParagraph"/>
        <w:numPr>
          <w:ilvl w:val="0"/>
          <w:numId w:val="59"/>
        </w:numPr>
        <w:spacing w:after="0" w:line="240" w:lineRule="auto"/>
        <w:jc w:val="both"/>
        <w:rPr>
          <w:rFonts w:eastAsia="Times New Roman" w:cstheme="minorHAnsi"/>
          <w:bCs/>
          <w:lang w:val="en-PH"/>
        </w:rPr>
      </w:pPr>
      <w:r w:rsidRPr="00067855">
        <w:rPr>
          <w:rFonts w:eastAsia="Times New Roman" w:cstheme="minorHAnsi"/>
          <w:bCs/>
          <w:u w:val="single"/>
          <w:lang w:val="en-PH"/>
        </w:rPr>
        <w:t>Privacy policy</w:t>
      </w:r>
      <w:r w:rsidRPr="00067855">
        <w:rPr>
          <w:rFonts w:eastAsia="Times New Roman" w:cstheme="minorHAnsi"/>
          <w:bCs/>
          <w:lang w:val="en-PH"/>
        </w:rPr>
        <w:t>: VASPs must provide their customers with a privacy policy that outlines how their personal data will be collected, used, and protected.</w:t>
      </w:r>
    </w:p>
    <w:p w14:paraId="66EC504F" w14:textId="77777777" w:rsidR="00172535" w:rsidRPr="00172535" w:rsidRDefault="00172535" w:rsidP="00CC27A9">
      <w:pPr>
        <w:spacing w:after="0" w:line="240" w:lineRule="auto"/>
        <w:jc w:val="both"/>
        <w:rPr>
          <w:rFonts w:eastAsia="Times New Roman" w:cstheme="minorHAnsi"/>
          <w:bCs/>
          <w:lang w:val="en-PH"/>
        </w:rPr>
      </w:pPr>
    </w:p>
    <w:p w14:paraId="62EC7D5E" w14:textId="77777777" w:rsidR="00067855" w:rsidRDefault="00067855" w:rsidP="00CC27A9">
      <w:pPr>
        <w:pStyle w:val="ListParagraph"/>
        <w:numPr>
          <w:ilvl w:val="0"/>
          <w:numId w:val="59"/>
        </w:numPr>
        <w:spacing w:after="0" w:line="240" w:lineRule="auto"/>
        <w:jc w:val="both"/>
        <w:rPr>
          <w:rFonts w:eastAsia="Times New Roman" w:cstheme="minorHAnsi"/>
          <w:bCs/>
          <w:lang w:val="en-PH"/>
        </w:rPr>
      </w:pPr>
      <w:r w:rsidRPr="00067855">
        <w:rPr>
          <w:rFonts w:eastAsia="Times New Roman" w:cstheme="minorHAnsi"/>
          <w:bCs/>
          <w:u w:val="single"/>
          <w:lang w:val="en-PH"/>
        </w:rPr>
        <w:t>Complaints procedure</w:t>
      </w:r>
      <w:r w:rsidRPr="00067855">
        <w:rPr>
          <w:rFonts w:eastAsia="Times New Roman" w:cstheme="minorHAnsi"/>
          <w:bCs/>
          <w:lang w:val="en-PH"/>
        </w:rPr>
        <w:t>: VASPs must provide their customers with a clear and accessible complaints procedure, including information on how to make a complaint and the timeframes for resolving complaints.</w:t>
      </w:r>
    </w:p>
    <w:p w14:paraId="070079EF" w14:textId="77777777" w:rsidR="00172535" w:rsidRPr="00172535" w:rsidRDefault="00172535" w:rsidP="00CC27A9">
      <w:pPr>
        <w:spacing w:after="0" w:line="240" w:lineRule="auto"/>
        <w:jc w:val="both"/>
        <w:rPr>
          <w:rFonts w:eastAsia="Times New Roman" w:cstheme="minorHAnsi"/>
          <w:bCs/>
          <w:lang w:val="en-PH"/>
        </w:rPr>
      </w:pPr>
    </w:p>
    <w:p w14:paraId="2592686D" w14:textId="77777777" w:rsidR="00067855" w:rsidRDefault="00067855" w:rsidP="00CC27A9">
      <w:pPr>
        <w:pStyle w:val="ListParagraph"/>
        <w:numPr>
          <w:ilvl w:val="0"/>
          <w:numId w:val="59"/>
        </w:numPr>
        <w:spacing w:after="0" w:line="240" w:lineRule="auto"/>
        <w:jc w:val="both"/>
        <w:rPr>
          <w:rFonts w:eastAsia="Times New Roman" w:cstheme="minorHAnsi"/>
          <w:bCs/>
          <w:lang w:val="en-PH"/>
        </w:rPr>
      </w:pPr>
      <w:r w:rsidRPr="00067855">
        <w:rPr>
          <w:rFonts w:eastAsia="Times New Roman" w:cstheme="minorHAnsi"/>
          <w:bCs/>
          <w:u w:val="single"/>
          <w:lang w:val="en-PH"/>
        </w:rPr>
        <w:t>AML/CFT policies and procedures</w:t>
      </w:r>
      <w:r w:rsidRPr="00067855">
        <w:rPr>
          <w:rFonts w:eastAsia="Times New Roman" w:cstheme="minorHAnsi"/>
          <w:bCs/>
          <w:lang w:val="en-PH"/>
        </w:rPr>
        <w:t>: VASPs must provide their customers with information about their AML/CFT policies and procedures, including how customer due diligence is conducted and what information is required.</w:t>
      </w:r>
    </w:p>
    <w:p w14:paraId="4D46686E" w14:textId="77777777" w:rsidR="00172535" w:rsidRPr="00172535" w:rsidRDefault="00172535" w:rsidP="00CC27A9">
      <w:pPr>
        <w:spacing w:after="0" w:line="240" w:lineRule="auto"/>
        <w:jc w:val="both"/>
        <w:rPr>
          <w:rFonts w:eastAsia="Times New Roman" w:cstheme="minorHAnsi"/>
          <w:bCs/>
          <w:lang w:val="en-PH"/>
        </w:rPr>
      </w:pPr>
    </w:p>
    <w:p w14:paraId="7CBCD8F0" w14:textId="77777777" w:rsidR="00067855" w:rsidRDefault="00067855" w:rsidP="00CC27A9">
      <w:pPr>
        <w:pStyle w:val="ListParagraph"/>
        <w:numPr>
          <w:ilvl w:val="0"/>
          <w:numId w:val="59"/>
        </w:numPr>
        <w:spacing w:after="0" w:line="240" w:lineRule="auto"/>
        <w:jc w:val="both"/>
        <w:rPr>
          <w:rFonts w:eastAsia="Times New Roman" w:cstheme="minorHAnsi"/>
          <w:bCs/>
          <w:lang w:val="en-PH"/>
        </w:rPr>
      </w:pPr>
      <w:r w:rsidRPr="00067855">
        <w:rPr>
          <w:rFonts w:eastAsia="Times New Roman" w:cstheme="minorHAnsi"/>
          <w:bCs/>
          <w:u w:val="single"/>
          <w:lang w:val="en-PH"/>
        </w:rPr>
        <w:t>Service availability</w:t>
      </w:r>
      <w:r w:rsidRPr="00067855">
        <w:rPr>
          <w:rFonts w:eastAsia="Times New Roman" w:cstheme="minorHAnsi"/>
          <w:bCs/>
          <w:lang w:val="en-PH"/>
        </w:rPr>
        <w:t>: VASPs must provide their customers with information about the availability of their services, including any planned or unplanned downtime.</w:t>
      </w:r>
    </w:p>
    <w:p w14:paraId="74D1B3B8" w14:textId="77777777" w:rsidR="00172535" w:rsidRPr="00172535" w:rsidRDefault="00172535" w:rsidP="00CC27A9">
      <w:pPr>
        <w:spacing w:after="0" w:line="240" w:lineRule="auto"/>
        <w:jc w:val="both"/>
        <w:rPr>
          <w:rFonts w:eastAsia="Times New Roman" w:cstheme="minorHAnsi"/>
          <w:bCs/>
          <w:lang w:val="en-PH"/>
        </w:rPr>
      </w:pPr>
    </w:p>
    <w:p w14:paraId="73DB69FE" w14:textId="77777777" w:rsidR="00067855" w:rsidRDefault="00067855" w:rsidP="00CC27A9">
      <w:pPr>
        <w:pStyle w:val="ListParagraph"/>
        <w:numPr>
          <w:ilvl w:val="0"/>
          <w:numId w:val="59"/>
        </w:numPr>
        <w:spacing w:after="0" w:line="240" w:lineRule="auto"/>
        <w:jc w:val="both"/>
        <w:rPr>
          <w:rFonts w:eastAsia="Times New Roman" w:cstheme="minorHAnsi"/>
          <w:bCs/>
          <w:lang w:val="en-PH"/>
        </w:rPr>
      </w:pPr>
      <w:r w:rsidRPr="00067855">
        <w:rPr>
          <w:rFonts w:eastAsia="Times New Roman" w:cstheme="minorHAnsi"/>
          <w:bCs/>
          <w:u w:val="single"/>
          <w:lang w:val="en-PH"/>
        </w:rPr>
        <w:t>Insurance</w:t>
      </w:r>
      <w:r w:rsidRPr="00067855">
        <w:rPr>
          <w:rFonts w:eastAsia="Times New Roman" w:cstheme="minorHAnsi"/>
          <w:bCs/>
          <w:lang w:val="en-PH"/>
        </w:rPr>
        <w:t>: VASPs must provide their customers with information about any insurance coverage that is in place to protect customer assets.</w:t>
      </w:r>
    </w:p>
    <w:p w14:paraId="3C8DFEEC" w14:textId="77777777" w:rsidR="00172535" w:rsidRPr="00172535" w:rsidRDefault="00172535" w:rsidP="00172535">
      <w:pPr>
        <w:spacing w:after="0" w:line="240" w:lineRule="auto"/>
        <w:jc w:val="both"/>
        <w:rPr>
          <w:rFonts w:eastAsia="Times New Roman" w:cstheme="minorHAnsi"/>
          <w:bCs/>
          <w:lang w:val="en-PH"/>
        </w:rPr>
      </w:pPr>
    </w:p>
    <w:p w14:paraId="437E2A63" w14:textId="77777777" w:rsidR="00067855" w:rsidRDefault="00067855" w:rsidP="003427DB">
      <w:pPr>
        <w:pStyle w:val="Heading2"/>
      </w:pPr>
      <w:bookmarkStart w:id="19" w:name="_Toc195261860"/>
      <w:r w:rsidRPr="00067855">
        <w:t>What market misconduct legislation/regulations apply to virtual assets?</w:t>
      </w:r>
      <w:bookmarkEnd w:id="19"/>
    </w:p>
    <w:p w14:paraId="249C978D" w14:textId="77777777" w:rsidR="00172535" w:rsidRPr="00067855" w:rsidRDefault="00172535" w:rsidP="00067855">
      <w:pPr>
        <w:spacing w:after="0" w:line="240" w:lineRule="auto"/>
        <w:ind w:left="360"/>
        <w:jc w:val="both"/>
        <w:rPr>
          <w:rFonts w:eastAsia="Times New Roman" w:cstheme="minorHAnsi"/>
          <w:bCs/>
          <w:lang w:val="en-PH"/>
        </w:rPr>
      </w:pPr>
    </w:p>
    <w:p w14:paraId="5A2CEE35" w14:textId="77777777" w:rsidR="00067855" w:rsidRDefault="00067855" w:rsidP="00067855">
      <w:pPr>
        <w:spacing w:after="0" w:line="240" w:lineRule="auto"/>
        <w:ind w:left="360"/>
        <w:jc w:val="both"/>
        <w:rPr>
          <w:rFonts w:eastAsia="Times New Roman" w:cstheme="minorHAnsi"/>
          <w:bCs/>
          <w:lang w:val="en-PH"/>
        </w:rPr>
      </w:pPr>
      <w:r w:rsidRPr="00067855">
        <w:rPr>
          <w:rFonts w:eastAsia="Times New Roman" w:cstheme="minorHAnsi"/>
          <w:bCs/>
          <w:lang w:val="en-PH"/>
        </w:rPr>
        <w:t>In Gibraltar, there is no specific market misconduct legislation or regulation that applies solely to virtual assets. However, the FSA provides a regulatory framework for financial services in Gibraltar, including the regulation of virtual assets.</w:t>
      </w:r>
    </w:p>
    <w:p w14:paraId="7F4BB837" w14:textId="77777777" w:rsidR="00172535" w:rsidRPr="00067855" w:rsidRDefault="00172535" w:rsidP="00067855">
      <w:pPr>
        <w:spacing w:after="0" w:line="240" w:lineRule="auto"/>
        <w:ind w:left="360"/>
        <w:jc w:val="both"/>
        <w:rPr>
          <w:rFonts w:eastAsia="Times New Roman" w:cstheme="minorHAnsi"/>
          <w:bCs/>
          <w:lang w:val="en-PH"/>
        </w:rPr>
      </w:pPr>
    </w:p>
    <w:p w14:paraId="08BB43B8" w14:textId="77777777" w:rsidR="00067855" w:rsidRDefault="00067855" w:rsidP="00067855">
      <w:pPr>
        <w:spacing w:after="0" w:line="240" w:lineRule="auto"/>
        <w:ind w:left="360"/>
        <w:jc w:val="both"/>
        <w:rPr>
          <w:rFonts w:eastAsia="Times New Roman" w:cstheme="minorHAnsi"/>
          <w:bCs/>
          <w:lang w:val="en-PH"/>
        </w:rPr>
      </w:pPr>
      <w:r w:rsidRPr="00067855">
        <w:rPr>
          <w:rFonts w:eastAsia="Times New Roman" w:cstheme="minorHAnsi"/>
          <w:bCs/>
          <w:lang w:val="en-PH"/>
        </w:rPr>
        <w:t>The GFSC has issued guidance notes for VASPs operating in Gibraltar, which provide detailed information on the GFSC's expectations for VASPs in areas such as AML/CFT compliance, risk management, IT security, and customer due diligence.</w:t>
      </w:r>
    </w:p>
    <w:p w14:paraId="36F2415C" w14:textId="77777777" w:rsidR="00172535" w:rsidRPr="00067855" w:rsidRDefault="00172535" w:rsidP="00067855">
      <w:pPr>
        <w:spacing w:after="0" w:line="240" w:lineRule="auto"/>
        <w:ind w:left="360"/>
        <w:jc w:val="both"/>
        <w:rPr>
          <w:rFonts w:eastAsia="Times New Roman" w:cstheme="minorHAnsi"/>
          <w:bCs/>
          <w:lang w:val="en-PH"/>
        </w:rPr>
      </w:pPr>
    </w:p>
    <w:p w14:paraId="1321A2DE" w14:textId="77777777" w:rsidR="00067855" w:rsidRDefault="00067855" w:rsidP="00067855">
      <w:pPr>
        <w:spacing w:after="0" w:line="240" w:lineRule="auto"/>
        <w:ind w:left="360"/>
        <w:jc w:val="both"/>
        <w:rPr>
          <w:rFonts w:eastAsia="Times New Roman" w:cstheme="minorHAnsi"/>
          <w:bCs/>
          <w:lang w:val="en-PH"/>
        </w:rPr>
      </w:pPr>
      <w:r w:rsidRPr="00067855">
        <w:rPr>
          <w:rFonts w:eastAsia="Times New Roman" w:cstheme="minorHAnsi"/>
          <w:bCs/>
          <w:lang w:val="en-PH"/>
        </w:rPr>
        <w:t xml:space="preserve">The GFSC's guidance notes for VASPs also include expectations for preventing and detecting market misconduct, such as insider dealing and market manipulation. The guidance notes emphasise the importance of VASPs implementing appropriate systems and controls to prevent, detect, and report </w:t>
      </w:r>
      <w:r w:rsidRPr="00067855">
        <w:rPr>
          <w:rFonts w:eastAsia="Times New Roman" w:cstheme="minorHAnsi"/>
          <w:bCs/>
          <w:lang w:val="en-PH"/>
        </w:rPr>
        <w:lastRenderedPageBreak/>
        <w:t>market misconduct, and to ensure that they are conducting their business with honesty, integrity, and fairness.</w:t>
      </w:r>
    </w:p>
    <w:p w14:paraId="66336FFB" w14:textId="77777777" w:rsidR="00172535" w:rsidRPr="00067855" w:rsidRDefault="00172535" w:rsidP="00067855">
      <w:pPr>
        <w:spacing w:after="0" w:line="240" w:lineRule="auto"/>
        <w:ind w:left="360"/>
        <w:jc w:val="both"/>
        <w:rPr>
          <w:rFonts w:eastAsia="Times New Roman" w:cstheme="minorHAnsi"/>
          <w:bCs/>
          <w:lang w:val="en-PH"/>
        </w:rPr>
      </w:pPr>
    </w:p>
    <w:p w14:paraId="0C71DAE5" w14:textId="77777777" w:rsidR="00067855" w:rsidRDefault="00067855" w:rsidP="00067855">
      <w:pPr>
        <w:spacing w:after="0" w:line="240" w:lineRule="auto"/>
        <w:ind w:left="360"/>
        <w:jc w:val="both"/>
        <w:rPr>
          <w:rFonts w:eastAsia="Times New Roman" w:cstheme="minorHAnsi"/>
          <w:bCs/>
          <w:lang w:val="en-PH"/>
        </w:rPr>
      </w:pPr>
      <w:r w:rsidRPr="00067855">
        <w:rPr>
          <w:rFonts w:eastAsia="Times New Roman" w:cstheme="minorHAnsi"/>
          <w:bCs/>
          <w:lang w:val="en-PH"/>
        </w:rPr>
        <w:t>In addition to the guidance notes, the GFSC has also issued nine core principles for VASPs operating in Gibraltar. These core principles provide a framework for VASPs to operate in a safe and sound manner, and to protect the interests of their customers. The core principles include requirements for VASPs to:</w:t>
      </w:r>
    </w:p>
    <w:p w14:paraId="081EF7C5" w14:textId="77777777" w:rsidR="00172535" w:rsidRPr="00067855" w:rsidRDefault="00172535" w:rsidP="00067855">
      <w:pPr>
        <w:spacing w:after="0" w:line="240" w:lineRule="auto"/>
        <w:ind w:left="360"/>
        <w:jc w:val="both"/>
        <w:rPr>
          <w:rFonts w:eastAsia="Times New Roman" w:cstheme="minorHAnsi"/>
          <w:bCs/>
          <w:lang w:val="en-PH"/>
        </w:rPr>
      </w:pPr>
    </w:p>
    <w:p w14:paraId="06E7382B" w14:textId="77777777" w:rsidR="00067855" w:rsidRDefault="00067855" w:rsidP="00067855">
      <w:pPr>
        <w:pStyle w:val="ListParagraph"/>
        <w:numPr>
          <w:ilvl w:val="0"/>
          <w:numId w:val="60"/>
        </w:numPr>
        <w:spacing w:after="0" w:line="240" w:lineRule="auto"/>
        <w:jc w:val="both"/>
        <w:rPr>
          <w:rFonts w:eastAsia="Times New Roman" w:cstheme="minorHAnsi"/>
          <w:bCs/>
          <w:lang w:val="en-PH"/>
        </w:rPr>
      </w:pPr>
      <w:r w:rsidRPr="00067855">
        <w:rPr>
          <w:rFonts w:eastAsia="Times New Roman" w:cstheme="minorHAnsi"/>
          <w:bCs/>
          <w:lang w:val="en-PH"/>
        </w:rPr>
        <w:t xml:space="preserve">conduct their business with honesty, integrity, and </w:t>
      </w:r>
      <w:proofErr w:type="gramStart"/>
      <w:r w:rsidRPr="00067855">
        <w:rPr>
          <w:rFonts w:eastAsia="Times New Roman" w:cstheme="minorHAnsi"/>
          <w:bCs/>
          <w:lang w:val="en-PH"/>
        </w:rPr>
        <w:t>fairness;</w:t>
      </w:r>
      <w:proofErr w:type="gramEnd"/>
    </w:p>
    <w:p w14:paraId="4DC8271B" w14:textId="77777777" w:rsidR="00A67684" w:rsidRPr="00067855" w:rsidRDefault="00A67684" w:rsidP="00A67684">
      <w:pPr>
        <w:pStyle w:val="ListParagraph"/>
        <w:spacing w:after="0" w:line="240" w:lineRule="auto"/>
        <w:ind w:left="1080"/>
        <w:jc w:val="both"/>
        <w:rPr>
          <w:rFonts w:eastAsia="Times New Roman" w:cstheme="minorHAnsi"/>
          <w:bCs/>
          <w:lang w:val="en-PH"/>
        </w:rPr>
      </w:pPr>
    </w:p>
    <w:p w14:paraId="6F628D34" w14:textId="77777777" w:rsidR="00067855" w:rsidRDefault="00067855" w:rsidP="00067855">
      <w:pPr>
        <w:pStyle w:val="ListParagraph"/>
        <w:numPr>
          <w:ilvl w:val="0"/>
          <w:numId w:val="60"/>
        </w:numPr>
        <w:spacing w:after="0" w:line="240" w:lineRule="auto"/>
        <w:jc w:val="both"/>
        <w:rPr>
          <w:rFonts w:eastAsia="Times New Roman" w:cstheme="minorHAnsi"/>
          <w:bCs/>
          <w:lang w:val="en-PH"/>
        </w:rPr>
      </w:pPr>
      <w:r w:rsidRPr="00067855">
        <w:rPr>
          <w:rFonts w:eastAsia="Times New Roman" w:cstheme="minorHAnsi"/>
          <w:bCs/>
          <w:lang w:val="en-PH"/>
        </w:rPr>
        <w:t xml:space="preserve">pay due regard to the interests and needs of their </w:t>
      </w:r>
      <w:proofErr w:type="gramStart"/>
      <w:r w:rsidRPr="00067855">
        <w:rPr>
          <w:rFonts w:eastAsia="Times New Roman" w:cstheme="minorHAnsi"/>
          <w:bCs/>
          <w:lang w:val="en-PH"/>
        </w:rPr>
        <w:t>customers;</w:t>
      </w:r>
      <w:proofErr w:type="gramEnd"/>
    </w:p>
    <w:p w14:paraId="64B6A544" w14:textId="77777777" w:rsidR="00A67684" w:rsidRPr="00A67684" w:rsidRDefault="00A67684" w:rsidP="00A67684">
      <w:pPr>
        <w:spacing w:after="0" w:line="240" w:lineRule="auto"/>
        <w:jc w:val="both"/>
        <w:rPr>
          <w:rFonts w:eastAsia="Times New Roman" w:cstheme="minorHAnsi"/>
          <w:bCs/>
          <w:lang w:val="en-PH"/>
        </w:rPr>
      </w:pPr>
    </w:p>
    <w:p w14:paraId="32CFFDF3" w14:textId="77777777" w:rsidR="00067855" w:rsidRDefault="00067855" w:rsidP="00067855">
      <w:pPr>
        <w:pStyle w:val="ListParagraph"/>
        <w:numPr>
          <w:ilvl w:val="0"/>
          <w:numId w:val="60"/>
        </w:numPr>
        <w:spacing w:after="0" w:line="240" w:lineRule="auto"/>
        <w:jc w:val="both"/>
        <w:rPr>
          <w:rFonts w:eastAsia="Times New Roman" w:cstheme="minorHAnsi"/>
          <w:bCs/>
          <w:lang w:val="en-PH"/>
        </w:rPr>
      </w:pPr>
      <w:r w:rsidRPr="00067855">
        <w:rPr>
          <w:rFonts w:eastAsia="Times New Roman" w:cstheme="minorHAnsi"/>
          <w:bCs/>
          <w:lang w:val="en-PH"/>
        </w:rPr>
        <w:t xml:space="preserve">maintain adequate financial and non-financial </w:t>
      </w:r>
      <w:proofErr w:type="gramStart"/>
      <w:r w:rsidRPr="00067855">
        <w:rPr>
          <w:rFonts w:eastAsia="Times New Roman" w:cstheme="minorHAnsi"/>
          <w:bCs/>
          <w:lang w:val="en-PH"/>
        </w:rPr>
        <w:t>resources;</w:t>
      </w:r>
      <w:proofErr w:type="gramEnd"/>
    </w:p>
    <w:p w14:paraId="20A63A8C" w14:textId="77777777" w:rsidR="00A67684" w:rsidRPr="00A67684" w:rsidRDefault="00A67684" w:rsidP="00A67684">
      <w:pPr>
        <w:spacing w:after="0" w:line="240" w:lineRule="auto"/>
        <w:jc w:val="both"/>
        <w:rPr>
          <w:rFonts w:eastAsia="Times New Roman" w:cstheme="minorHAnsi"/>
          <w:bCs/>
          <w:lang w:val="en-PH"/>
        </w:rPr>
      </w:pPr>
    </w:p>
    <w:p w14:paraId="704E2911" w14:textId="77777777" w:rsidR="00067855" w:rsidRDefault="00067855" w:rsidP="00067855">
      <w:pPr>
        <w:pStyle w:val="ListParagraph"/>
        <w:numPr>
          <w:ilvl w:val="0"/>
          <w:numId w:val="60"/>
        </w:numPr>
        <w:spacing w:after="0" w:line="240" w:lineRule="auto"/>
        <w:jc w:val="both"/>
        <w:rPr>
          <w:rFonts w:eastAsia="Times New Roman" w:cstheme="minorHAnsi"/>
          <w:bCs/>
          <w:lang w:val="en-PH"/>
        </w:rPr>
      </w:pPr>
      <w:r w:rsidRPr="00067855">
        <w:rPr>
          <w:rFonts w:eastAsia="Times New Roman" w:cstheme="minorHAnsi"/>
          <w:bCs/>
          <w:lang w:val="en-PH"/>
        </w:rPr>
        <w:t xml:space="preserve">manage and control their business </w:t>
      </w:r>
      <w:proofErr w:type="gramStart"/>
      <w:r w:rsidRPr="00067855">
        <w:rPr>
          <w:rFonts w:eastAsia="Times New Roman" w:cstheme="minorHAnsi"/>
          <w:bCs/>
          <w:lang w:val="en-PH"/>
        </w:rPr>
        <w:t>effectively;</w:t>
      </w:r>
      <w:proofErr w:type="gramEnd"/>
    </w:p>
    <w:p w14:paraId="403EDA6D" w14:textId="77777777" w:rsidR="00A67684" w:rsidRPr="00A67684" w:rsidRDefault="00A67684" w:rsidP="00A67684">
      <w:pPr>
        <w:spacing w:after="0" w:line="240" w:lineRule="auto"/>
        <w:jc w:val="both"/>
        <w:rPr>
          <w:rFonts w:eastAsia="Times New Roman" w:cstheme="minorHAnsi"/>
          <w:bCs/>
          <w:lang w:val="en-PH"/>
        </w:rPr>
      </w:pPr>
    </w:p>
    <w:p w14:paraId="018A708F" w14:textId="77777777" w:rsidR="00067855" w:rsidRDefault="00067855" w:rsidP="00067855">
      <w:pPr>
        <w:pStyle w:val="ListParagraph"/>
        <w:numPr>
          <w:ilvl w:val="0"/>
          <w:numId w:val="60"/>
        </w:numPr>
        <w:spacing w:after="0" w:line="240" w:lineRule="auto"/>
        <w:jc w:val="both"/>
        <w:rPr>
          <w:rFonts w:eastAsia="Times New Roman" w:cstheme="minorHAnsi"/>
          <w:bCs/>
          <w:lang w:val="en-PH"/>
        </w:rPr>
      </w:pPr>
      <w:r w:rsidRPr="00067855">
        <w:rPr>
          <w:rFonts w:eastAsia="Times New Roman" w:cstheme="minorHAnsi"/>
          <w:bCs/>
          <w:lang w:val="en-PH"/>
        </w:rPr>
        <w:t xml:space="preserve">establish and maintain effective risk management </w:t>
      </w:r>
      <w:proofErr w:type="gramStart"/>
      <w:r w:rsidRPr="00067855">
        <w:rPr>
          <w:rFonts w:eastAsia="Times New Roman" w:cstheme="minorHAnsi"/>
          <w:bCs/>
          <w:lang w:val="en-PH"/>
        </w:rPr>
        <w:t>systems;</w:t>
      </w:r>
      <w:proofErr w:type="gramEnd"/>
    </w:p>
    <w:p w14:paraId="17F19FE5" w14:textId="77777777" w:rsidR="00A67684" w:rsidRPr="00A67684" w:rsidRDefault="00A67684" w:rsidP="00A67684">
      <w:pPr>
        <w:spacing w:after="0" w:line="240" w:lineRule="auto"/>
        <w:jc w:val="both"/>
        <w:rPr>
          <w:rFonts w:eastAsia="Times New Roman" w:cstheme="minorHAnsi"/>
          <w:bCs/>
          <w:lang w:val="en-PH"/>
        </w:rPr>
      </w:pPr>
    </w:p>
    <w:p w14:paraId="370CC955" w14:textId="77777777" w:rsidR="00067855" w:rsidRDefault="00067855" w:rsidP="00067855">
      <w:pPr>
        <w:pStyle w:val="ListParagraph"/>
        <w:numPr>
          <w:ilvl w:val="0"/>
          <w:numId w:val="60"/>
        </w:numPr>
        <w:spacing w:after="0" w:line="240" w:lineRule="auto"/>
        <w:jc w:val="both"/>
        <w:rPr>
          <w:rFonts w:eastAsia="Times New Roman" w:cstheme="minorHAnsi"/>
          <w:bCs/>
          <w:lang w:val="en-PH"/>
        </w:rPr>
      </w:pPr>
      <w:r w:rsidRPr="00067855">
        <w:rPr>
          <w:rFonts w:eastAsia="Times New Roman" w:cstheme="minorHAnsi"/>
          <w:bCs/>
          <w:lang w:val="en-PH"/>
        </w:rPr>
        <w:t xml:space="preserve">maintain effective systems and controls to counter the risk of financial </w:t>
      </w:r>
      <w:proofErr w:type="gramStart"/>
      <w:r w:rsidRPr="00067855">
        <w:rPr>
          <w:rFonts w:eastAsia="Times New Roman" w:cstheme="minorHAnsi"/>
          <w:bCs/>
          <w:lang w:val="en-PH"/>
        </w:rPr>
        <w:t>crime;</w:t>
      </w:r>
      <w:proofErr w:type="gramEnd"/>
    </w:p>
    <w:p w14:paraId="2B08888B" w14:textId="77777777" w:rsidR="00A67684" w:rsidRPr="00A67684" w:rsidRDefault="00A67684" w:rsidP="00A67684">
      <w:pPr>
        <w:spacing w:after="0" w:line="240" w:lineRule="auto"/>
        <w:jc w:val="both"/>
        <w:rPr>
          <w:rFonts w:eastAsia="Times New Roman" w:cstheme="minorHAnsi"/>
          <w:bCs/>
          <w:lang w:val="en-PH"/>
        </w:rPr>
      </w:pPr>
    </w:p>
    <w:p w14:paraId="0094A23E" w14:textId="77777777" w:rsidR="00067855" w:rsidRDefault="00067855" w:rsidP="00067855">
      <w:pPr>
        <w:pStyle w:val="ListParagraph"/>
        <w:numPr>
          <w:ilvl w:val="0"/>
          <w:numId w:val="60"/>
        </w:numPr>
        <w:spacing w:after="0" w:line="240" w:lineRule="auto"/>
        <w:jc w:val="both"/>
        <w:rPr>
          <w:rFonts w:eastAsia="Times New Roman" w:cstheme="minorHAnsi"/>
          <w:bCs/>
          <w:lang w:val="en-PH"/>
        </w:rPr>
      </w:pPr>
      <w:r w:rsidRPr="00067855">
        <w:rPr>
          <w:rFonts w:eastAsia="Times New Roman" w:cstheme="minorHAnsi"/>
          <w:bCs/>
          <w:lang w:val="en-PH"/>
        </w:rPr>
        <w:t xml:space="preserve">be open and cooperative with the </w:t>
      </w:r>
      <w:proofErr w:type="gramStart"/>
      <w:r w:rsidRPr="00067855">
        <w:rPr>
          <w:rFonts w:eastAsia="Times New Roman" w:cstheme="minorHAnsi"/>
          <w:bCs/>
          <w:lang w:val="en-PH"/>
        </w:rPr>
        <w:t>GFSC;</w:t>
      </w:r>
      <w:proofErr w:type="gramEnd"/>
    </w:p>
    <w:p w14:paraId="52D6262C" w14:textId="77777777" w:rsidR="00A67684" w:rsidRPr="00A67684" w:rsidRDefault="00A67684" w:rsidP="00A67684">
      <w:pPr>
        <w:spacing w:after="0" w:line="240" w:lineRule="auto"/>
        <w:jc w:val="both"/>
        <w:rPr>
          <w:rFonts w:eastAsia="Times New Roman" w:cstheme="minorHAnsi"/>
          <w:bCs/>
          <w:lang w:val="en-PH"/>
        </w:rPr>
      </w:pPr>
    </w:p>
    <w:p w14:paraId="6120D3BA" w14:textId="77777777" w:rsidR="00067855" w:rsidRDefault="00067855" w:rsidP="00067855">
      <w:pPr>
        <w:pStyle w:val="ListParagraph"/>
        <w:numPr>
          <w:ilvl w:val="0"/>
          <w:numId w:val="60"/>
        </w:numPr>
        <w:spacing w:after="0" w:line="240" w:lineRule="auto"/>
        <w:jc w:val="both"/>
        <w:rPr>
          <w:rFonts w:eastAsia="Times New Roman" w:cstheme="minorHAnsi"/>
          <w:bCs/>
          <w:lang w:val="en-PH"/>
        </w:rPr>
      </w:pPr>
      <w:r w:rsidRPr="00067855">
        <w:rPr>
          <w:rFonts w:eastAsia="Times New Roman" w:cstheme="minorHAnsi"/>
          <w:bCs/>
          <w:lang w:val="en-PH"/>
        </w:rPr>
        <w:t>pay due regard to the information needs of their customers; and</w:t>
      </w:r>
    </w:p>
    <w:p w14:paraId="6C23FFD6" w14:textId="77777777" w:rsidR="00A67684" w:rsidRPr="00A67684" w:rsidRDefault="00A67684" w:rsidP="00A67684">
      <w:pPr>
        <w:spacing w:after="0" w:line="240" w:lineRule="auto"/>
        <w:jc w:val="both"/>
        <w:rPr>
          <w:rFonts w:eastAsia="Times New Roman" w:cstheme="minorHAnsi"/>
          <w:bCs/>
          <w:lang w:val="en-PH"/>
        </w:rPr>
      </w:pPr>
    </w:p>
    <w:p w14:paraId="4367710B" w14:textId="77777777" w:rsidR="00067855" w:rsidRDefault="00067855" w:rsidP="00067855">
      <w:pPr>
        <w:pStyle w:val="ListParagraph"/>
        <w:numPr>
          <w:ilvl w:val="0"/>
          <w:numId w:val="60"/>
        </w:numPr>
        <w:spacing w:after="0" w:line="240" w:lineRule="auto"/>
        <w:jc w:val="both"/>
        <w:rPr>
          <w:rFonts w:eastAsia="Times New Roman" w:cstheme="minorHAnsi"/>
          <w:bCs/>
          <w:lang w:val="en-PH"/>
        </w:rPr>
      </w:pPr>
      <w:r w:rsidRPr="00067855">
        <w:rPr>
          <w:rFonts w:eastAsia="Times New Roman" w:cstheme="minorHAnsi"/>
          <w:bCs/>
          <w:lang w:val="en-PH"/>
        </w:rPr>
        <w:t>conduct their business in a way that does not harm the reputation of Gibraltar.</w:t>
      </w:r>
    </w:p>
    <w:p w14:paraId="4412F555" w14:textId="77777777" w:rsidR="00172535" w:rsidRPr="00067855" w:rsidRDefault="00172535" w:rsidP="00172535">
      <w:pPr>
        <w:pStyle w:val="ListParagraph"/>
        <w:spacing w:after="0" w:line="240" w:lineRule="auto"/>
        <w:ind w:left="1080"/>
        <w:jc w:val="both"/>
        <w:rPr>
          <w:rFonts w:eastAsia="Times New Roman" w:cstheme="minorHAnsi"/>
          <w:bCs/>
          <w:lang w:val="en-PH"/>
        </w:rPr>
      </w:pPr>
    </w:p>
    <w:p w14:paraId="72689C91" w14:textId="77777777" w:rsidR="00067855" w:rsidRPr="00172535" w:rsidRDefault="00067855" w:rsidP="003427DB">
      <w:pPr>
        <w:pStyle w:val="Heading1"/>
      </w:pPr>
      <w:bookmarkStart w:id="20" w:name="_Toc195261861"/>
      <w:r w:rsidRPr="00067855">
        <w:t>Regulation of other crypto-related activities in Gibraltar</w:t>
      </w:r>
      <w:bookmarkEnd w:id="20"/>
    </w:p>
    <w:p w14:paraId="7AE5F1BF" w14:textId="77777777" w:rsidR="00172535" w:rsidRPr="00067855" w:rsidRDefault="00172535" w:rsidP="00172535">
      <w:pPr>
        <w:spacing w:after="0" w:line="240" w:lineRule="auto"/>
        <w:ind w:left="360"/>
        <w:jc w:val="both"/>
        <w:rPr>
          <w:rFonts w:eastAsia="Times New Roman" w:cstheme="minorHAnsi"/>
          <w:b/>
          <w:lang w:val="en-PH"/>
        </w:rPr>
      </w:pPr>
    </w:p>
    <w:p w14:paraId="324B6442" w14:textId="77777777" w:rsidR="00067855" w:rsidRDefault="00067855" w:rsidP="003427DB">
      <w:pPr>
        <w:pStyle w:val="Heading2"/>
      </w:pPr>
      <w:bookmarkStart w:id="21" w:name="_Toc195261862"/>
      <w:r w:rsidRPr="00067855">
        <w:t>Are managers of crypto funds regulated in Gibraltar?</w:t>
      </w:r>
      <w:bookmarkEnd w:id="21"/>
    </w:p>
    <w:p w14:paraId="3819C59B" w14:textId="77777777" w:rsidR="00172535" w:rsidRPr="00067855" w:rsidRDefault="00172535" w:rsidP="00067855">
      <w:pPr>
        <w:spacing w:after="0" w:line="240" w:lineRule="auto"/>
        <w:ind w:left="360"/>
        <w:jc w:val="both"/>
        <w:rPr>
          <w:rFonts w:eastAsia="Times New Roman" w:cstheme="minorHAnsi"/>
          <w:b/>
          <w:bCs/>
          <w:u w:val="single"/>
          <w:lang w:val="en-PH"/>
        </w:rPr>
      </w:pPr>
    </w:p>
    <w:p w14:paraId="1151FBF1" w14:textId="77777777" w:rsidR="00067855" w:rsidRDefault="00067855" w:rsidP="00067855">
      <w:pPr>
        <w:spacing w:after="0" w:line="240" w:lineRule="auto"/>
        <w:ind w:left="360"/>
        <w:jc w:val="both"/>
        <w:rPr>
          <w:rFonts w:eastAsia="Times New Roman" w:cstheme="minorHAnsi"/>
          <w:lang w:val="en-PH"/>
        </w:rPr>
      </w:pPr>
      <w:r w:rsidRPr="00067855">
        <w:rPr>
          <w:rFonts w:eastAsia="Times New Roman" w:cstheme="minorHAnsi"/>
          <w:lang w:val="en-PH"/>
        </w:rPr>
        <w:t>The Financial Services (Distributed Ledger Technology Providers) Regulations 2020 apply to regulation of crypto fund managers (DLT Providers) in Gibraltar. These regulations state that managers of crypto funds must be authorised before they can carry on this business. To obtain authorisation, managers of crypto funds must submit an initial application assessment request to the GFSC, providing relevant documents and other information.</w:t>
      </w:r>
    </w:p>
    <w:p w14:paraId="5D62B08A" w14:textId="77777777" w:rsidR="00172535" w:rsidRPr="00067855" w:rsidRDefault="00172535" w:rsidP="00067855">
      <w:pPr>
        <w:spacing w:after="0" w:line="240" w:lineRule="auto"/>
        <w:ind w:left="360"/>
        <w:jc w:val="both"/>
        <w:rPr>
          <w:rFonts w:eastAsia="Times New Roman" w:cstheme="minorHAnsi"/>
          <w:lang w:val="en-PH"/>
        </w:rPr>
      </w:pPr>
    </w:p>
    <w:p w14:paraId="113AF65D" w14:textId="77777777" w:rsidR="00067855" w:rsidRDefault="00067855" w:rsidP="00067855">
      <w:pPr>
        <w:spacing w:after="0" w:line="240" w:lineRule="auto"/>
        <w:ind w:left="360"/>
        <w:jc w:val="both"/>
        <w:rPr>
          <w:rFonts w:eastAsia="Times New Roman" w:cstheme="minorHAnsi"/>
          <w:lang w:val="en-PH"/>
        </w:rPr>
      </w:pPr>
      <w:r w:rsidRPr="00067855">
        <w:rPr>
          <w:rFonts w:eastAsia="Times New Roman" w:cstheme="minorHAnsi"/>
          <w:lang w:val="en-PH"/>
        </w:rPr>
        <w:t>Once authorised, managers of crypto funds must comply with ongoing obligations specified in the regulatory principles set out in the Schedule to the regulations. The regulatory principles require managers of crypto funds to conduct their business with honesty, integrity, due skill, care, and diligence, among other requirements. So overall, managers of crypto funds in Gibraltar are subject to substantial regulation and oversight under the Financial Services (Distributed Ledger Technology Providers) Regulations 2020.</w:t>
      </w:r>
    </w:p>
    <w:p w14:paraId="708E2957" w14:textId="77777777" w:rsidR="00172535" w:rsidRPr="00067855" w:rsidRDefault="00172535" w:rsidP="00067855">
      <w:pPr>
        <w:spacing w:after="0" w:line="240" w:lineRule="auto"/>
        <w:ind w:left="360"/>
        <w:jc w:val="both"/>
        <w:rPr>
          <w:rFonts w:eastAsia="Times New Roman" w:cstheme="minorHAnsi"/>
          <w:lang w:val="en-PH"/>
        </w:rPr>
      </w:pPr>
    </w:p>
    <w:p w14:paraId="1E0A0EE6" w14:textId="77777777" w:rsidR="00067855" w:rsidRDefault="00067855" w:rsidP="003427DB">
      <w:pPr>
        <w:pStyle w:val="Heading2"/>
      </w:pPr>
      <w:bookmarkStart w:id="22" w:name="_Toc195261863"/>
      <w:r w:rsidRPr="00067855">
        <w:t>Are distributors of virtual asset funds regulated in Gibraltar?</w:t>
      </w:r>
      <w:bookmarkEnd w:id="22"/>
    </w:p>
    <w:p w14:paraId="39480AA3" w14:textId="77777777" w:rsidR="00172535" w:rsidRPr="00067855" w:rsidRDefault="00172535" w:rsidP="00067855">
      <w:pPr>
        <w:spacing w:after="0" w:line="240" w:lineRule="auto"/>
        <w:ind w:left="360"/>
        <w:jc w:val="both"/>
        <w:rPr>
          <w:rFonts w:eastAsia="Times New Roman" w:cstheme="minorHAnsi"/>
          <w:b/>
          <w:bCs/>
          <w:u w:val="single"/>
          <w:lang w:val="en-PH"/>
        </w:rPr>
      </w:pPr>
    </w:p>
    <w:p w14:paraId="02EA617A" w14:textId="77777777" w:rsidR="00067855" w:rsidRDefault="00067855" w:rsidP="00067855">
      <w:pPr>
        <w:spacing w:after="0" w:line="240" w:lineRule="auto"/>
        <w:ind w:left="360"/>
        <w:jc w:val="both"/>
        <w:rPr>
          <w:rFonts w:eastAsia="Times New Roman" w:cstheme="minorHAnsi"/>
          <w:lang w:val="en-PH"/>
        </w:rPr>
      </w:pPr>
      <w:r w:rsidRPr="00067855">
        <w:rPr>
          <w:rFonts w:eastAsia="Times New Roman" w:cstheme="minorHAnsi"/>
          <w:lang w:val="en-PH"/>
        </w:rPr>
        <w:t xml:space="preserve">The Financial Services (Distributed Ledger Technology Providers) Regulations 2020 are regulations that monitor the actions of virtual asset fund managers and distributors in Gibraltar. To run such a business in Gibraltar, the FSA requires authorisation from the GFSC. These regulations set out various </w:t>
      </w:r>
      <w:r w:rsidRPr="00067855">
        <w:rPr>
          <w:rFonts w:eastAsia="Times New Roman" w:cstheme="minorHAnsi"/>
          <w:lang w:val="en-PH"/>
        </w:rPr>
        <w:lastRenderedPageBreak/>
        <w:t>obligations that such businesses must maintain to be eligible for authorisation from the GFSC. These include carrying adequate resources (both financial and non-financial), having effective prevention and detection systems against financial crimes, and informing the GFSC immediately of anything that could compromise their compliance with the regulations.</w:t>
      </w:r>
    </w:p>
    <w:p w14:paraId="1ECDB2FE" w14:textId="77777777" w:rsidR="00172535" w:rsidRPr="00067855" w:rsidRDefault="00172535" w:rsidP="00067855">
      <w:pPr>
        <w:spacing w:after="0" w:line="240" w:lineRule="auto"/>
        <w:ind w:left="360"/>
        <w:jc w:val="both"/>
        <w:rPr>
          <w:rFonts w:eastAsia="Times New Roman" w:cstheme="minorHAnsi"/>
          <w:lang w:val="en-PH"/>
        </w:rPr>
      </w:pPr>
    </w:p>
    <w:p w14:paraId="74AA4994" w14:textId="77777777" w:rsidR="00067855" w:rsidRDefault="00067855" w:rsidP="00067855">
      <w:pPr>
        <w:spacing w:after="0" w:line="240" w:lineRule="auto"/>
        <w:ind w:left="360"/>
        <w:jc w:val="both"/>
        <w:rPr>
          <w:rFonts w:eastAsia="Times New Roman" w:cstheme="minorHAnsi"/>
          <w:lang w:val="en-PH"/>
        </w:rPr>
      </w:pPr>
      <w:r w:rsidRPr="00067855">
        <w:rPr>
          <w:rFonts w:eastAsia="Times New Roman" w:cstheme="minorHAnsi"/>
          <w:lang w:val="en-PH"/>
        </w:rPr>
        <w:t>The GFSC has also issued guidance notes on various aspects of virtual assets, including the regulation of ICOs, tokens, and other related activities. These guidance notes provide clarification on the GFSC's expectations and the regulatory treatment of different types of virtual assets and activities. Moreover, it is essential for distributors of virtual asset funds to also adhere to Gibraltar's AML/CFT regulations, as well as any other relevant laws and guidelines.</w:t>
      </w:r>
    </w:p>
    <w:p w14:paraId="6356E3CD" w14:textId="77777777" w:rsidR="00172535" w:rsidRPr="00067855" w:rsidRDefault="00172535" w:rsidP="00067855">
      <w:pPr>
        <w:spacing w:after="0" w:line="240" w:lineRule="auto"/>
        <w:ind w:left="360"/>
        <w:jc w:val="both"/>
        <w:rPr>
          <w:rFonts w:eastAsia="Times New Roman" w:cstheme="minorHAnsi"/>
          <w:lang w:val="en-PH"/>
        </w:rPr>
      </w:pPr>
    </w:p>
    <w:p w14:paraId="43D59ED1" w14:textId="77777777" w:rsidR="00067855" w:rsidRDefault="00067855" w:rsidP="003427DB">
      <w:pPr>
        <w:pStyle w:val="Heading2"/>
      </w:pPr>
      <w:bookmarkStart w:id="23" w:name="_Toc195261864"/>
      <w:r w:rsidRPr="00067855">
        <w:t>Are there requirements for intermediaries seeking to provide trading in virtual assets for clients or advise clients on virtual assets in Gibraltar?</w:t>
      </w:r>
      <w:bookmarkEnd w:id="23"/>
    </w:p>
    <w:p w14:paraId="78BD764D" w14:textId="77777777" w:rsidR="00172535" w:rsidRPr="00067855" w:rsidRDefault="00172535" w:rsidP="00067855">
      <w:pPr>
        <w:spacing w:after="0" w:line="240" w:lineRule="auto"/>
        <w:ind w:left="360"/>
        <w:jc w:val="both"/>
        <w:rPr>
          <w:rFonts w:eastAsia="Times New Roman" w:cstheme="minorHAnsi"/>
          <w:b/>
          <w:bCs/>
          <w:u w:val="single"/>
          <w:lang w:val="en-PH"/>
        </w:rPr>
      </w:pPr>
    </w:p>
    <w:p w14:paraId="753A7FA1" w14:textId="77777777" w:rsidR="00067855" w:rsidRDefault="00067855" w:rsidP="00067855">
      <w:pPr>
        <w:spacing w:after="0" w:line="240" w:lineRule="auto"/>
        <w:ind w:left="360"/>
        <w:jc w:val="both"/>
        <w:rPr>
          <w:rFonts w:eastAsia="Times New Roman" w:cstheme="minorHAnsi"/>
          <w:lang w:val="en-PH"/>
        </w:rPr>
      </w:pPr>
      <w:r w:rsidRPr="00067855">
        <w:rPr>
          <w:rFonts w:eastAsia="Times New Roman" w:cstheme="minorHAnsi"/>
          <w:lang w:val="en-PH"/>
        </w:rPr>
        <w:t>Yes, there are requirements for intermediaries seeking to provide trading in virtual assets for clients or advise clients on virtual assets in Gibraltar. The GFSC regulates intermediaries that offer services related to virtual assets under the Financial Services (Distributed Ledger Technology Providers) Regulations 2020.</w:t>
      </w:r>
    </w:p>
    <w:p w14:paraId="4E22BA7A" w14:textId="77777777" w:rsidR="00172535" w:rsidRPr="00067855" w:rsidRDefault="00172535" w:rsidP="00067855">
      <w:pPr>
        <w:spacing w:after="0" w:line="240" w:lineRule="auto"/>
        <w:ind w:left="360"/>
        <w:jc w:val="both"/>
        <w:rPr>
          <w:rFonts w:eastAsia="Times New Roman" w:cstheme="minorHAnsi"/>
          <w:lang w:val="en-PH"/>
        </w:rPr>
      </w:pPr>
    </w:p>
    <w:p w14:paraId="603F3D2C" w14:textId="77777777" w:rsidR="00067855" w:rsidRDefault="00067855" w:rsidP="00067855">
      <w:pPr>
        <w:spacing w:after="0" w:line="240" w:lineRule="auto"/>
        <w:ind w:left="360"/>
        <w:jc w:val="both"/>
        <w:rPr>
          <w:rFonts w:eastAsia="Times New Roman" w:cstheme="minorHAnsi"/>
          <w:lang w:val="en-PH"/>
        </w:rPr>
      </w:pPr>
      <w:r w:rsidRPr="00067855">
        <w:rPr>
          <w:rFonts w:eastAsia="Times New Roman" w:cstheme="minorHAnsi"/>
          <w:lang w:val="en-PH"/>
        </w:rPr>
        <w:t>Intermediaries, such as brokers, dealers, and investment advisors, must obtain a license from the GFSC to provide services related to virtual assets. To be granted a license, intermediaries must demonstrate compliance with the GFSC's regulatory principles, which include maintaining adequate financial and non-financial resources, implementing effective risk management and governance arrangements, and adhering to strict AML/CFT measures.</w:t>
      </w:r>
    </w:p>
    <w:p w14:paraId="572F78A0" w14:textId="77777777" w:rsidR="00172535" w:rsidRPr="00067855" w:rsidRDefault="00172535" w:rsidP="00067855">
      <w:pPr>
        <w:spacing w:after="0" w:line="240" w:lineRule="auto"/>
        <w:ind w:left="360"/>
        <w:jc w:val="both"/>
        <w:rPr>
          <w:rFonts w:eastAsia="Times New Roman" w:cstheme="minorHAnsi"/>
          <w:lang w:val="en-PH"/>
        </w:rPr>
      </w:pPr>
    </w:p>
    <w:p w14:paraId="751A9A39" w14:textId="77777777" w:rsidR="00067855" w:rsidRDefault="00067855" w:rsidP="00067855">
      <w:pPr>
        <w:spacing w:after="0" w:line="240" w:lineRule="auto"/>
        <w:ind w:left="360"/>
        <w:jc w:val="both"/>
        <w:rPr>
          <w:rFonts w:eastAsia="Times New Roman" w:cstheme="minorHAnsi"/>
          <w:lang w:val="en-PH"/>
        </w:rPr>
      </w:pPr>
      <w:r w:rsidRPr="00067855">
        <w:rPr>
          <w:rFonts w:eastAsia="Times New Roman" w:cstheme="minorHAnsi"/>
          <w:lang w:val="en-PH"/>
        </w:rPr>
        <w:t>In addition to obtaining a license, intermediaries must also comply with the GFSC's guidance notes on the regulation of ICOs, tokens, and other related activities. These guidance notes provide clarity on the GFSC's expectations for intermediaries operating in the virtual assets sector.</w:t>
      </w:r>
    </w:p>
    <w:p w14:paraId="78EC7B70" w14:textId="77777777" w:rsidR="00172535" w:rsidRPr="00067855" w:rsidRDefault="00172535" w:rsidP="00067855">
      <w:pPr>
        <w:spacing w:after="0" w:line="240" w:lineRule="auto"/>
        <w:ind w:left="360"/>
        <w:jc w:val="both"/>
        <w:rPr>
          <w:rFonts w:eastAsia="Times New Roman" w:cstheme="minorHAnsi"/>
          <w:lang w:val="en-PH"/>
        </w:rPr>
      </w:pPr>
    </w:p>
    <w:p w14:paraId="189B635D" w14:textId="77777777" w:rsidR="00067855" w:rsidRDefault="00067855" w:rsidP="00067855">
      <w:pPr>
        <w:spacing w:after="0" w:line="240" w:lineRule="auto"/>
        <w:ind w:left="360"/>
        <w:jc w:val="both"/>
        <w:rPr>
          <w:rFonts w:eastAsia="Times New Roman" w:cstheme="minorHAnsi"/>
          <w:lang w:val="en-PH"/>
        </w:rPr>
      </w:pPr>
      <w:r w:rsidRPr="00067855">
        <w:rPr>
          <w:rFonts w:eastAsia="Times New Roman" w:cstheme="minorHAnsi"/>
          <w:lang w:val="en-PH"/>
        </w:rPr>
        <w:t>Intermediaries are required to maintain risk management and governance frameworks, implement appropriate internal controls, and ensure the protection of client assets. They must also provide clear and accurate disclosure to clients about the risks associated with virtual assets and ensure that their services are suitable for the clients' investment objectives and risk tolerance.</w:t>
      </w:r>
    </w:p>
    <w:p w14:paraId="2FA4C6B6" w14:textId="77777777" w:rsidR="00172535" w:rsidRPr="00067855" w:rsidRDefault="00172535" w:rsidP="00067855">
      <w:pPr>
        <w:spacing w:after="0" w:line="240" w:lineRule="auto"/>
        <w:ind w:left="360"/>
        <w:jc w:val="both"/>
        <w:rPr>
          <w:rFonts w:eastAsia="Times New Roman" w:cstheme="minorHAnsi"/>
          <w:lang w:val="en-PH"/>
        </w:rPr>
      </w:pPr>
    </w:p>
    <w:p w14:paraId="1C3F9492" w14:textId="77777777" w:rsidR="00067855" w:rsidRDefault="00067855" w:rsidP="00067855">
      <w:pPr>
        <w:spacing w:after="0" w:line="240" w:lineRule="auto"/>
        <w:ind w:left="360"/>
        <w:jc w:val="both"/>
        <w:rPr>
          <w:rFonts w:eastAsia="Times New Roman" w:cstheme="minorHAnsi"/>
          <w:lang w:val="en-PH"/>
        </w:rPr>
      </w:pPr>
      <w:r w:rsidRPr="00067855">
        <w:rPr>
          <w:rFonts w:eastAsia="Times New Roman" w:cstheme="minorHAnsi"/>
          <w:lang w:val="en-PH"/>
        </w:rPr>
        <w:t>Ongoing supervision and monitoring by the GFSC are essential aspects of the regulatory framework for intermediaries in Gibraltar. Intermediaries must be prepared for on-site inspections, investigations, and periodic reporting requirements to ensure that they remain compliant with the relevant laws, regulations, and guidance notes.</w:t>
      </w:r>
    </w:p>
    <w:p w14:paraId="31C79166" w14:textId="77777777" w:rsidR="00172535" w:rsidRPr="00067855" w:rsidRDefault="00172535" w:rsidP="00067855">
      <w:pPr>
        <w:spacing w:after="0" w:line="240" w:lineRule="auto"/>
        <w:ind w:left="360"/>
        <w:jc w:val="both"/>
        <w:rPr>
          <w:rFonts w:eastAsia="Times New Roman" w:cstheme="minorHAnsi"/>
          <w:lang w:val="en-PH"/>
        </w:rPr>
      </w:pPr>
    </w:p>
    <w:p w14:paraId="4E3357D7" w14:textId="77777777" w:rsidR="00067855" w:rsidRPr="00172535" w:rsidRDefault="00067855" w:rsidP="003427DB">
      <w:pPr>
        <w:pStyle w:val="Heading1"/>
      </w:pPr>
      <w:bookmarkStart w:id="24" w:name="_Toc195261865"/>
      <w:r w:rsidRPr="00067855">
        <w:t>Other relevant regulatory information</w:t>
      </w:r>
      <w:bookmarkEnd w:id="24"/>
    </w:p>
    <w:p w14:paraId="3A0C4E91" w14:textId="77777777" w:rsidR="00172535" w:rsidRPr="00067855" w:rsidRDefault="00172535" w:rsidP="00172535">
      <w:pPr>
        <w:spacing w:after="0" w:line="240" w:lineRule="auto"/>
        <w:ind w:left="360"/>
        <w:jc w:val="both"/>
        <w:rPr>
          <w:rFonts w:eastAsia="Times New Roman" w:cstheme="minorHAnsi"/>
          <w:b/>
          <w:lang w:val="en-PH"/>
        </w:rPr>
      </w:pPr>
    </w:p>
    <w:p w14:paraId="22BDB2CA" w14:textId="77777777" w:rsidR="00067855" w:rsidRDefault="00067855" w:rsidP="003427DB">
      <w:pPr>
        <w:pStyle w:val="Heading2"/>
      </w:pPr>
      <w:bookmarkStart w:id="25" w:name="_Toc195261866"/>
      <w:r w:rsidRPr="00067855">
        <w:t>Are there any upcoming regulatory developments in respect of crypto-related activity in Gibraltar?</w:t>
      </w:r>
      <w:bookmarkEnd w:id="25"/>
    </w:p>
    <w:p w14:paraId="71105C57" w14:textId="77777777" w:rsidR="00172535" w:rsidRPr="00067855" w:rsidRDefault="00172535" w:rsidP="00067855">
      <w:pPr>
        <w:spacing w:after="0" w:line="240" w:lineRule="auto"/>
        <w:ind w:left="360"/>
        <w:jc w:val="both"/>
        <w:rPr>
          <w:rFonts w:eastAsia="Times New Roman" w:cstheme="minorHAnsi"/>
          <w:b/>
          <w:bCs/>
          <w:u w:val="single"/>
          <w:lang w:val="en-PH"/>
        </w:rPr>
      </w:pPr>
    </w:p>
    <w:p w14:paraId="6280C77F" w14:textId="77777777" w:rsidR="00067855" w:rsidRDefault="00067855" w:rsidP="00067855">
      <w:pPr>
        <w:spacing w:after="0" w:line="240" w:lineRule="auto"/>
        <w:ind w:left="360"/>
        <w:jc w:val="both"/>
        <w:rPr>
          <w:rFonts w:eastAsia="Times New Roman" w:cstheme="minorHAnsi"/>
          <w:lang w:val="en-PH"/>
        </w:rPr>
      </w:pPr>
      <w:r w:rsidRPr="00067855">
        <w:rPr>
          <w:rFonts w:eastAsia="Times New Roman" w:cstheme="minorHAnsi"/>
          <w:lang w:val="en-PH"/>
        </w:rPr>
        <w:t>There are no specific upcoming regulatory developments in respect of crypto-related activity in Gibraltar beyond the current regulations and guidelines. However, the GFSC continues to supervise all DLT Providers, including AML/CTF supervision, to ensure compliance with the existing regulations.</w:t>
      </w:r>
    </w:p>
    <w:p w14:paraId="4FAFACE1" w14:textId="77777777" w:rsidR="00172535" w:rsidRPr="00067855" w:rsidRDefault="00172535" w:rsidP="00067855">
      <w:pPr>
        <w:spacing w:after="0" w:line="240" w:lineRule="auto"/>
        <w:ind w:left="360"/>
        <w:jc w:val="both"/>
        <w:rPr>
          <w:rFonts w:eastAsia="Times New Roman" w:cstheme="minorHAnsi"/>
          <w:lang w:val="en-PH"/>
        </w:rPr>
      </w:pPr>
    </w:p>
    <w:p w14:paraId="0172445C" w14:textId="77777777" w:rsidR="00067855" w:rsidRDefault="00067855" w:rsidP="003427DB">
      <w:pPr>
        <w:pStyle w:val="Heading2"/>
      </w:pPr>
      <w:bookmarkStart w:id="26" w:name="_Toc195261867"/>
      <w:r w:rsidRPr="00067855">
        <w:t>Has there been any notable events in Gibraltar that has prompted regulatory change recently?</w:t>
      </w:r>
      <w:bookmarkEnd w:id="26"/>
    </w:p>
    <w:p w14:paraId="7AABE1E0" w14:textId="77777777" w:rsidR="00172535" w:rsidRPr="00067855" w:rsidRDefault="00172535" w:rsidP="00067855">
      <w:pPr>
        <w:spacing w:after="0" w:line="240" w:lineRule="auto"/>
        <w:ind w:left="360"/>
        <w:jc w:val="both"/>
        <w:rPr>
          <w:rFonts w:eastAsia="Times New Roman" w:cstheme="minorHAnsi"/>
          <w:b/>
          <w:bCs/>
          <w:u w:val="single"/>
          <w:lang w:val="en-PH"/>
        </w:rPr>
      </w:pPr>
    </w:p>
    <w:p w14:paraId="17B51C25" w14:textId="77777777" w:rsidR="00067855" w:rsidRPr="005E128B" w:rsidRDefault="00067855" w:rsidP="00067855">
      <w:pPr>
        <w:spacing w:after="0" w:line="240" w:lineRule="auto"/>
        <w:ind w:left="360"/>
        <w:jc w:val="both"/>
      </w:pPr>
      <w:r w:rsidRPr="005E128B">
        <w:t xml:space="preserve">Gibraltar is a well-known hub for online gaming companies. In recent years, there have been regulatory changes in the gaming industry, such as the introduction of the </w:t>
      </w:r>
      <w:hyperlink r:id="rId21" w:history="1">
        <w:r w:rsidRPr="006578B8">
          <w:rPr>
            <w:color w:val="FF6E00"/>
          </w:rPr>
          <w:t>Gambling Act 2005</w:t>
        </w:r>
      </w:hyperlink>
      <w:r w:rsidRPr="005E128B">
        <w:t xml:space="preserve"> and subsequent updates. These changes have helped Gibraltar maintain its reputation as a well-regulated jurisdiction for online gaming and have encouraged other sectors, like blockchain and cryptocurrencies, to seek similar regulatory clarity.</w:t>
      </w:r>
    </w:p>
    <w:p w14:paraId="78AA40B0" w14:textId="77777777" w:rsidR="00172535" w:rsidRPr="005E128B" w:rsidRDefault="00172535" w:rsidP="00067855">
      <w:pPr>
        <w:spacing w:after="0" w:line="240" w:lineRule="auto"/>
        <w:ind w:left="360"/>
        <w:jc w:val="both"/>
      </w:pPr>
    </w:p>
    <w:p w14:paraId="1A057D0E" w14:textId="77777777" w:rsidR="00067855" w:rsidRDefault="00067855" w:rsidP="00067855">
      <w:pPr>
        <w:spacing w:after="0" w:line="240" w:lineRule="auto"/>
        <w:ind w:left="360"/>
        <w:jc w:val="both"/>
        <w:rPr>
          <w:rFonts w:eastAsia="Times New Roman" w:cstheme="minorHAnsi"/>
          <w:lang w:val="en-PH"/>
        </w:rPr>
      </w:pPr>
      <w:r w:rsidRPr="005E128B">
        <w:t xml:space="preserve">In March 2021, Gibraltar made significant changes to the Proceeds of Crime Act 2015 to address AML/CFT, particularly for DLT and virtual asset businesses. These changes include the introduction of the FATF Travel Rule for VASPs, which requires affected firms to comply with travel rule requirements, such as obtaining and securely storing </w:t>
      </w:r>
      <w:proofErr w:type="gramStart"/>
      <w:r w:rsidRPr="005E128B">
        <w:t>particular information</w:t>
      </w:r>
      <w:proofErr w:type="gramEnd"/>
      <w:r w:rsidRPr="005E128B">
        <w:t xml:space="preserve"> on their customers when there is a transaction value equal to or </w:t>
      </w:r>
      <w:proofErr w:type="gramStart"/>
      <w:r w:rsidRPr="005E128B">
        <w:t>in excess of</w:t>
      </w:r>
      <w:proofErr w:type="gramEnd"/>
      <w:r w:rsidRPr="005E128B">
        <w:t xml:space="preserve"> one thousand euros.</w:t>
      </w:r>
    </w:p>
    <w:p w14:paraId="7BB822FF" w14:textId="77777777" w:rsidR="00172535" w:rsidRPr="00067855" w:rsidRDefault="00172535" w:rsidP="00067855">
      <w:pPr>
        <w:spacing w:after="0" w:line="240" w:lineRule="auto"/>
        <w:ind w:left="360"/>
        <w:jc w:val="both"/>
        <w:rPr>
          <w:rFonts w:eastAsia="Times New Roman" w:cstheme="minorHAnsi"/>
          <w:lang w:val="en-PH"/>
        </w:rPr>
      </w:pPr>
    </w:p>
    <w:p w14:paraId="5F9B373F" w14:textId="77777777" w:rsidR="00067855" w:rsidRPr="00172535" w:rsidRDefault="00067855" w:rsidP="003427DB">
      <w:pPr>
        <w:pStyle w:val="Heading1"/>
      </w:pPr>
      <w:bookmarkStart w:id="27" w:name="_Toc195261868"/>
      <w:r w:rsidRPr="00067855">
        <w:t>Pending litigation and judgments related to virtual assets in Gibraltar (if any)</w:t>
      </w:r>
      <w:bookmarkEnd w:id="27"/>
    </w:p>
    <w:p w14:paraId="095E7B18" w14:textId="77777777" w:rsidR="00172535" w:rsidRPr="00067855" w:rsidRDefault="00172535" w:rsidP="00172535">
      <w:pPr>
        <w:pStyle w:val="ListParagraph"/>
        <w:spacing w:after="0" w:line="240" w:lineRule="auto"/>
        <w:ind w:left="360"/>
        <w:jc w:val="both"/>
        <w:rPr>
          <w:rFonts w:eastAsia="Times New Roman" w:cstheme="minorHAnsi"/>
          <w:lang w:val="en-PH"/>
        </w:rPr>
      </w:pPr>
    </w:p>
    <w:p w14:paraId="60A35413" w14:textId="4CEEB1AE" w:rsidR="00067855" w:rsidRDefault="00067855" w:rsidP="00067855">
      <w:pPr>
        <w:pStyle w:val="ListParagraph"/>
        <w:numPr>
          <w:ilvl w:val="0"/>
          <w:numId w:val="62"/>
        </w:numPr>
        <w:spacing w:after="0" w:line="240" w:lineRule="auto"/>
        <w:jc w:val="both"/>
        <w:rPr>
          <w:rFonts w:eastAsia="Times New Roman" w:cstheme="minorHAnsi"/>
          <w:bCs/>
          <w:lang w:val="en-SG"/>
        </w:rPr>
      </w:pPr>
      <w:hyperlink r:id="rId22" w:history="1">
        <w:r w:rsidRPr="00210952">
          <w:rPr>
            <w:rStyle w:val="Hyperlink"/>
            <w:rFonts w:eastAsia="Times New Roman" w:cstheme="minorHAnsi"/>
            <w:bCs/>
            <w:color w:val="FF6E00"/>
            <w:lang w:val="en-SG"/>
          </w:rPr>
          <w:t>Globix Missing Funds Investigation</w:t>
        </w:r>
      </w:hyperlink>
      <w:r w:rsidRPr="00067855">
        <w:rPr>
          <w:rFonts w:eastAsia="Times New Roman" w:cstheme="minorHAnsi"/>
          <w:bCs/>
          <w:lang w:val="en-SG"/>
        </w:rPr>
        <w:t xml:space="preserve">: The Gibraltar court freezes crypto assets totaling $43 million in a bid to locate and recover missing funds from the collapsed cryptocurrency trader Globix. This action involves freezing the digital assets of the company and its directors as part of the ongoing investigation. </w:t>
      </w:r>
    </w:p>
    <w:p w14:paraId="069BC07F" w14:textId="77777777" w:rsidR="00F45C26" w:rsidRPr="00067855" w:rsidRDefault="00F45C26" w:rsidP="00F45C26">
      <w:pPr>
        <w:pStyle w:val="ListParagraph"/>
        <w:spacing w:after="0" w:line="240" w:lineRule="auto"/>
        <w:ind w:left="1080"/>
        <w:jc w:val="both"/>
        <w:rPr>
          <w:rFonts w:eastAsia="Times New Roman" w:cstheme="minorHAnsi"/>
          <w:bCs/>
          <w:lang w:val="en-SG"/>
        </w:rPr>
      </w:pPr>
    </w:p>
    <w:p w14:paraId="74DD3983" w14:textId="148D7C3C" w:rsidR="00067855" w:rsidRDefault="00067855" w:rsidP="00067855">
      <w:pPr>
        <w:pStyle w:val="ListParagraph"/>
        <w:numPr>
          <w:ilvl w:val="0"/>
          <w:numId w:val="62"/>
        </w:numPr>
        <w:spacing w:after="0" w:line="240" w:lineRule="auto"/>
        <w:jc w:val="both"/>
        <w:rPr>
          <w:rFonts w:eastAsia="Times New Roman" w:cstheme="minorHAnsi"/>
          <w:bCs/>
          <w:lang w:val="en-SG"/>
        </w:rPr>
      </w:pPr>
      <w:hyperlink r:id="rId23" w:history="1">
        <w:r w:rsidRPr="00210952">
          <w:rPr>
            <w:rStyle w:val="Hyperlink"/>
            <w:rFonts w:eastAsia="Times New Roman" w:cstheme="minorHAnsi"/>
            <w:bCs/>
            <w:color w:val="FF6E00"/>
            <w:lang w:val="en-SG"/>
          </w:rPr>
          <w:t>Mañasco Fund Misuse Allegations</w:t>
        </w:r>
      </w:hyperlink>
      <w:r w:rsidRPr="00067855">
        <w:rPr>
          <w:rFonts w:eastAsia="Times New Roman" w:cstheme="minorHAnsi"/>
          <w:bCs/>
          <w:lang w:val="en-SG"/>
        </w:rPr>
        <w:t xml:space="preserve">: Former Mansion Casino CEO Karel Christian Mañasco faces a £5.0 million global freezing order on his assets following accusations of breaching duties, making unauthorised payments, and misusing company funds during his tenure at Mansion Casino. </w:t>
      </w:r>
    </w:p>
    <w:p w14:paraId="1AF80ADF" w14:textId="77777777" w:rsidR="00F45C26" w:rsidRPr="00F45C26" w:rsidRDefault="00F45C26" w:rsidP="00F45C26">
      <w:pPr>
        <w:spacing w:after="0" w:line="240" w:lineRule="auto"/>
        <w:jc w:val="both"/>
        <w:rPr>
          <w:rFonts w:eastAsia="Times New Roman" w:cstheme="minorHAnsi"/>
          <w:bCs/>
          <w:lang w:val="en-SG"/>
        </w:rPr>
      </w:pPr>
    </w:p>
    <w:p w14:paraId="437D1743" w14:textId="178150EF" w:rsidR="00210952" w:rsidRDefault="00067855" w:rsidP="00067855">
      <w:pPr>
        <w:pStyle w:val="ListParagraph"/>
        <w:numPr>
          <w:ilvl w:val="0"/>
          <w:numId w:val="62"/>
        </w:numPr>
        <w:spacing w:after="0" w:line="240" w:lineRule="auto"/>
        <w:jc w:val="both"/>
        <w:rPr>
          <w:rFonts w:eastAsia="Times New Roman" w:cstheme="minorHAnsi"/>
          <w:bCs/>
          <w:lang w:val="en-SG"/>
        </w:rPr>
      </w:pPr>
      <w:hyperlink r:id="rId24" w:history="1">
        <w:r w:rsidRPr="00210952">
          <w:rPr>
            <w:rStyle w:val="Hyperlink"/>
            <w:rFonts w:eastAsia="Times New Roman" w:cstheme="minorHAnsi"/>
            <w:bCs/>
            <w:color w:val="FF6E00"/>
            <w:lang w:val="en-SG"/>
          </w:rPr>
          <w:t>Miracle World Ventures Liquidation</w:t>
        </w:r>
      </w:hyperlink>
      <w:r w:rsidRPr="00210952">
        <w:rPr>
          <w:rFonts w:eastAsia="Times New Roman" w:cstheme="minorHAnsi"/>
          <w:bCs/>
          <w:lang w:val="en-SG"/>
        </w:rPr>
        <w:t>:</w:t>
      </w:r>
      <w:r w:rsidRPr="00067855">
        <w:rPr>
          <w:rFonts w:eastAsia="Times New Roman" w:cstheme="minorHAnsi"/>
          <w:bCs/>
          <w:lang w:val="en-SG"/>
        </w:rPr>
        <w:t xml:space="preserve"> Miracle World Ventures Limited, registered in the British Virgin Islands, undergoes liquidation, prompting the Gibraltar Court to issue injunctions and disclosure orders pertaining to crypto assets against various parties, including unidentified individuals. This marks the first instance of Gibraltar Courts issuing such injunctions regarding crypto assets. </w:t>
      </w:r>
    </w:p>
    <w:p w14:paraId="65F443E9" w14:textId="582F5C3A" w:rsidR="00067855" w:rsidRPr="00210952" w:rsidRDefault="00067855" w:rsidP="00210952">
      <w:pPr>
        <w:spacing w:after="0" w:line="240" w:lineRule="auto"/>
        <w:ind w:left="720"/>
        <w:jc w:val="both"/>
        <w:rPr>
          <w:rFonts w:eastAsia="Times New Roman" w:cstheme="minorHAnsi"/>
          <w:bCs/>
          <w:lang w:val="en-SG"/>
        </w:rPr>
      </w:pPr>
      <w:r w:rsidRPr="00210952">
        <w:rPr>
          <w:rFonts w:eastAsia="Times New Roman" w:cstheme="minorHAnsi"/>
          <w:bCs/>
          <w:lang w:val="en-SG"/>
        </w:rPr>
        <w:t xml:space="preserve"> </w:t>
      </w:r>
    </w:p>
    <w:p w14:paraId="66DE1C15" w14:textId="77777777" w:rsidR="00067855" w:rsidRPr="00480E9A" w:rsidRDefault="00067855" w:rsidP="003427DB">
      <w:pPr>
        <w:pStyle w:val="Heading1"/>
      </w:pPr>
      <w:bookmarkStart w:id="28" w:name="_Toc195261869"/>
      <w:r w:rsidRPr="00067855">
        <w:t>Government outlook on virtual assets and crypto-related activities in Gibraltar</w:t>
      </w:r>
      <w:bookmarkEnd w:id="28"/>
    </w:p>
    <w:p w14:paraId="54D60DEE" w14:textId="77777777" w:rsidR="00480E9A" w:rsidRPr="00067855" w:rsidRDefault="00480E9A" w:rsidP="00480E9A">
      <w:pPr>
        <w:pStyle w:val="ListParagraph"/>
        <w:spacing w:after="0" w:line="240" w:lineRule="auto"/>
        <w:ind w:left="360"/>
        <w:jc w:val="both"/>
        <w:rPr>
          <w:rFonts w:eastAsia="Times New Roman" w:cstheme="minorHAnsi"/>
          <w:b/>
          <w:lang w:val="en-PH"/>
        </w:rPr>
      </w:pPr>
    </w:p>
    <w:p w14:paraId="71E834AE" w14:textId="77777777" w:rsidR="00067855" w:rsidRPr="00067855" w:rsidRDefault="00067855" w:rsidP="00067855">
      <w:pPr>
        <w:pStyle w:val="ListParagraph"/>
        <w:spacing w:after="0" w:line="240" w:lineRule="auto"/>
        <w:ind w:left="360"/>
        <w:jc w:val="both"/>
        <w:rPr>
          <w:rFonts w:eastAsia="Times New Roman" w:cstheme="minorHAnsi"/>
          <w:bCs/>
          <w:lang w:val="en-PH"/>
        </w:rPr>
      </w:pPr>
      <w:r w:rsidRPr="00067855">
        <w:rPr>
          <w:rFonts w:eastAsia="Times New Roman" w:cstheme="minorHAnsi"/>
          <w:bCs/>
          <w:lang w:val="en-PH"/>
        </w:rPr>
        <w:t>Gibraltar has established a comprehensive regulatory framework for virtual assets. The Financial Services (Distributed Ledger Technology Providers) Regulations 2020 set the rules that apply in Gibraltar to people who want to create and sell virtual assets. Under these regulations, entities must obtain authorisation from the GFSA before conducting activities involving virtual/digital assets. The regulations also specify the ongoing obligations that must be met and the regulatory principles that must be followed. The rules are designed to address risk management and represent principles-based regulations that allow innovation to flourish.</w:t>
      </w:r>
    </w:p>
    <w:p w14:paraId="7439FC5B" w14:textId="77777777" w:rsidR="00067855" w:rsidRPr="00067855" w:rsidRDefault="00067855" w:rsidP="00067855">
      <w:pPr>
        <w:pStyle w:val="ListParagraph"/>
        <w:spacing w:after="0" w:line="240" w:lineRule="auto"/>
        <w:ind w:left="360"/>
        <w:jc w:val="both"/>
        <w:rPr>
          <w:rFonts w:eastAsia="Times New Roman" w:cstheme="minorHAnsi"/>
          <w:bCs/>
          <w:lang w:val="en-PH"/>
        </w:rPr>
      </w:pPr>
    </w:p>
    <w:p w14:paraId="6F9326B7" w14:textId="77777777" w:rsidR="00067855" w:rsidRPr="00067855" w:rsidRDefault="00067855" w:rsidP="00067855">
      <w:pPr>
        <w:pStyle w:val="ListParagraph"/>
        <w:spacing w:after="0" w:line="240" w:lineRule="auto"/>
        <w:ind w:left="360"/>
        <w:jc w:val="both"/>
        <w:rPr>
          <w:rFonts w:eastAsia="Times New Roman" w:cstheme="minorHAnsi"/>
          <w:bCs/>
          <w:lang w:val="en-PH"/>
        </w:rPr>
      </w:pPr>
      <w:r w:rsidRPr="00067855">
        <w:rPr>
          <w:rFonts w:eastAsia="Times New Roman" w:cstheme="minorHAnsi"/>
          <w:bCs/>
          <w:lang w:val="en-PH"/>
        </w:rPr>
        <w:t>The GFSC has also issued ten guidance notes to supplement the DLT framework. These provide clarification on regulatory principles, risk management, financial crime risks, technology and cybersecurity risks, contingency planning, governance arrangements, fitness and propriety of key individuals, outsourcing arrangements, and conflicts of interest. The guidance notes are designed to assist DLT providers in understanding their obligations under the regulatory framework and maintaining high regulatory standards.</w:t>
      </w:r>
    </w:p>
    <w:p w14:paraId="7B413DD4" w14:textId="77777777" w:rsidR="00067855" w:rsidRPr="00067855" w:rsidRDefault="00067855" w:rsidP="00067855">
      <w:pPr>
        <w:pStyle w:val="ListParagraph"/>
        <w:spacing w:after="0" w:line="240" w:lineRule="auto"/>
        <w:ind w:left="360"/>
        <w:jc w:val="both"/>
        <w:rPr>
          <w:rFonts w:eastAsia="Times New Roman" w:cstheme="minorHAnsi"/>
          <w:bCs/>
          <w:lang w:val="en-PH"/>
        </w:rPr>
      </w:pPr>
    </w:p>
    <w:p w14:paraId="10EDD7E4" w14:textId="77777777" w:rsidR="00067855" w:rsidRPr="00067855" w:rsidRDefault="00067855" w:rsidP="00067855">
      <w:pPr>
        <w:pStyle w:val="ListParagraph"/>
        <w:spacing w:after="0" w:line="240" w:lineRule="auto"/>
        <w:ind w:left="360"/>
        <w:jc w:val="both"/>
        <w:rPr>
          <w:rFonts w:eastAsia="Times New Roman" w:cstheme="minorHAnsi"/>
          <w:bCs/>
          <w:lang w:val="en-PH"/>
        </w:rPr>
      </w:pPr>
      <w:r w:rsidRPr="00067855">
        <w:rPr>
          <w:rFonts w:eastAsia="Times New Roman" w:cstheme="minorHAnsi"/>
          <w:bCs/>
          <w:lang w:val="en-PH"/>
        </w:rPr>
        <w:lastRenderedPageBreak/>
        <w:t>In addition to the guidance notes mentioned above, the GFSC provides additional guidance notes for VASPs operating in Gibraltar. These offer detailed information on the GFSC’s expectations for VASPs in areas such as AML/CFT compliance, risk management, IT security, and customer due diligence. The guidance notes also include expectations for preventing and detecting market misconduct, such as insider dealing and market manipulation.</w:t>
      </w:r>
    </w:p>
    <w:p w14:paraId="0F8012A2" w14:textId="77777777" w:rsidR="00067855" w:rsidRPr="00067855" w:rsidRDefault="00067855" w:rsidP="00067855">
      <w:pPr>
        <w:pStyle w:val="ListParagraph"/>
        <w:spacing w:after="0" w:line="240" w:lineRule="auto"/>
        <w:ind w:left="360"/>
        <w:jc w:val="both"/>
        <w:rPr>
          <w:rFonts w:eastAsia="Times New Roman" w:cstheme="minorHAnsi"/>
          <w:bCs/>
          <w:lang w:val="en-PH"/>
        </w:rPr>
      </w:pPr>
    </w:p>
    <w:p w14:paraId="3F578B4C" w14:textId="77777777" w:rsidR="00067855" w:rsidRPr="00067855" w:rsidRDefault="00067855" w:rsidP="00067855">
      <w:pPr>
        <w:pStyle w:val="ListParagraph"/>
        <w:spacing w:after="0" w:line="240" w:lineRule="auto"/>
        <w:ind w:left="360"/>
        <w:jc w:val="both"/>
        <w:rPr>
          <w:rFonts w:eastAsia="Times New Roman" w:cstheme="minorHAnsi"/>
          <w:bCs/>
          <w:lang w:val="en-PH"/>
        </w:rPr>
      </w:pPr>
      <w:r w:rsidRPr="00067855">
        <w:rPr>
          <w:rFonts w:eastAsia="Times New Roman" w:cstheme="minorHAnsi"/>
          <w:bCs/>
          <w:lang w:val="en-PH"/>
        </w:rPr>
        <w:t>Failure to comply with these requirements may result in significant penalties, including fines and/or the revocation of authorisation, which could seriously impact the operations of the fund. Managers of crypto funds also must be prepared for ongoing supervision and monitoring by the GFSC. This includes on-site inspections and investigations by the GFSC, to ensure that the manager is fully compliant with the laws and regulations that are relevant to the operation of the fund in Gibraltar.</w:t>
      </w:r>
    </w:p>
    <w:p w14:paraId="1C87B02A" w14:textId="77777777" w:rsidR="00067855" w:rsidRPr="00067855" w:rsidRDefault="00067855" w:rsidP="00067855">
      <w:pPr>
        <w:pStyle w:val="ListParagraph"/>
        <w:spacing w:after="0" w:line="240" w:lineRule="auto"/>
        <w:ind w:left="360"/>
        <w:jc w:val="both"/>
        <w:rPr>
          <w:rFonts w:eastAsia="Times New Roman" w:cstheme="minorHAnsi"/>
          <w:bCs/>
          <w:lang w:val="en-PH"/>
        </w:rPr>
      </w:pPr>
    </w:p>
    <w:p w14:paraId="1C7DEEA9" w14:textId="77777777" w:rsidR="00067855" w:rsidRPr="00480E9A" w:rsidRDefault="00067855" w:rsidP="003427DB">
      <w:pPr>
        <w:pStyle w:val="Heading1"/>
      </w:pPr>
      <w:bookmarkStart w:id="29" w:name="_Toc195261870"/>
      <w:r w:rsidRPr="00067855">
        <w:t>Advantages of setting up a VASP in Gibraltar</w:t>
      </w:r>
      <w:bookmarkEnd w:id="29"/>
    </w:p>
    <w:p w14:paraId="06F67945" w14:textId="77777777" w:rsidR="00480E9A" w:rsidRPr="00067855" w:rsidRDefault="00480E9A" w:rsidP="00480E9A">
      <w:pPr>
        <w:pStyle w:val="ListParagraph"/>
        <w:spacing w:after="0" w:line="240" w:lineRule="auto"/>
        <w:ind w:left="360"/>
        <w:jc w:val="both"/>
        <w:rPr>
          <w:rFonts w:eastAsia="Times New Roman" w:cstheme="minorHAnsi"/>
          <w:bCs/>
          <w:lang w:val="en-PH"/>
        </w:rPr>
      </w:pPr>
    </w:p>
    <w:p w14:paraId="2639941A" w14:textId="77777777" w:rsidR="00067855" w:rsidRDefault="00067855" w:rsidP="00067855">
      <w:pPr>
        <w:pStyle w:val="ListParagraph"/>
        <w:spacing w:after="0" w:line="240" w:lineRule="auto"/>
        <w:ind w:left="360"/>
        <w:jc w:val="both"/>
        <w:rPr>
          <w:rFonts w:eastAsia="Times New Roman" w:cstheme="minorHAnsi"/>
          <w:bCs/>
          <w:lang w:val="en-PH"/>
        </w:rPr>
      </w:pPr>
      <w:r w:rsidRPr="00067855">
        <w:rPr>
          <w:rFonts w:eastAsia="Times New Roman" w:cstheme="minorHAnsi"/>
          <w:bCs/>
          <w:lang w:val="en-PH"/>
        </w:rPr>
        <w:t>Gibraltar has become an attractive jurisdiction for VASPs due to its well-defined regulatory framework, favorable business environment, and adequate approach to the development of the blockchain and cryptocurrency industry. Some advantages of setting up a VASP in Gibraltar include:</w:t>
      </w:r>
    </w:p>
    <w:p w14:paraId="112A27F3" w14:textId="77777777" w:rsidR="00480E9A" w:rsidRPr="00480E9A" w:rsidRDefault="00480E9A" w:rsidP="00480E9A">
      <w:pPr>
        <w:spacing w:after="0" w:line="240" w:lineRule="auto"/>
        <w:jc w:val="both"/>
        <w:rPr>
          <w:rFonts w:eastAsia="Times New Roman" w:cstheme="minorHAnsi"/>
          <w:bCs/>
          <w:lang w:val="en-PH"/>
        </w:rPr>
      </w:pPr>
    </w:p>
    <w:p w14:paraId="09F36099" w14:textId="77777777" w:rsidR="00067855" w:rsidRDefault="00067855" w:rsidP="007D3AEB">
      <w:pPr>
        <w:pStyle w:val="ListParagraph"/>
        <w:numPr>
          <w:ilvl w:val="0"/>
          <w:numId w:val="64"/>
        </w:numPr>
        <w:spacing w:after="0" w:line="240" w:lineRule="auto"/>
        <w:jc w:val="both"/>
        <w:rPr>
          <w:rFonts w:eastAsia="Times New Roman" w:cstheme="minorHAnsi"/>
          <w:bCs/>
          <w:lang w:val="en-PH"/>
        </w:rPr>
      </w:pPr>
      <w:r w:rsidRPr="00067855">
        <w:rPr>
          <w:rFonts w:eastAsia="Times New Roman" w:cstheme="minorHAnsi"/>
          <w:bCs/>
          <w:u w:val="single"/>
          <w:lang w:val="en-PH"/>
        </w:rPr>
        <w:t>Regulatory clarity</w:t>
      </w:r>
      <w:r w:rsidRPr="00067855">
        <w:rPr>
          <w:rFonts w:eastAsia="Times New Roman" w:cstheme="minorHAnsi"/>
          <w:bCs/>
          <w:lang w:val="en-PH"/>
        </w:rPr>
        <w:t>: Gibraltar was one of the first jurisdictions to introduce a comprehensive regulatory framework for DLT providers, including VASPs. The GFSC grants licenses to VASPs under the Financial Services (Distributed Ledger Technology Providers) Regulations 2020, ensuring a well-defined regulatory environment.</w:t>
      </w:r>
    </w:p>
    <w:p w14:paraId="3E1841A4" w14:textId="77777777" w:rsidR="00480E9A" w:rsidRPr="00067855" w:rsidRDefault="00480E9A" w:rsidP="007D3AEB">
      <w:pPr>
        <w:pStyle w:val="ListParagraph"/>
        <w:spacing w:after="0" w:line="240" w:lineRule="auto"/>
        <w:ind w:left="1080"/>
        <w:jc w:val="both"/>
        <w:rPr>
          <w:rFonts w:eastAsia="Times New Roman" w:cstheme="minorHAnsi"/>
          <w:bCs/>
          <w:lang w:val="en-PH"/>
        </w:rPr>
      </w:pPr>
    </w:p>
    <w:p w14:paraId="58CD7511" w14:textId="77777777" w:rsidR="00067855" w:rsidRDefault="00067855" w:rsidP="007D3AEB">
      <w:pPr>
        <w:pStyle w:val="ListParagraph"/>
        <w:numPr>
          <w:ilvl w:val="0"/>
          <w:numId w:val="64"/>
        </w:numPr>
        <w:spacing w:after="0" w:line="240" w:lineRule="auto"/>
        <w:jc w:val="both"/>
        <w:rPr>
          <w:rFonts w:eastAsia="Times New Roman" w:cstheme="minorHAnsi"/>
          <w:bCs/>
          <w:lang w:val="en-PH"/>
        </w:rPr>
      </w:pPr>
      <w:r w:rsidRPr="00067855">
        <w:rPr>
          <w:rFonts w:eastAsia="Times New Roman" w:cstheme="minorHAnsi"/>
          <w:bCs/>
          <w:u w:val="single"/>
          <w:lang w:val="en-PH"/>
        </w:rPr>
        <w:t>Access to a skilled workforce</w:t>
      </w:r>
      <w:r w:rsidRPr="00067855">
        <w:rPr>
          <w:rFonts w:eastAsia="Times New Roman" w:cstheme="minorHAnsi"/>
          <w:bCs/>
          <w:lang w:val="en-PH"/>
        </w:rPr>
        <w:t>: Gibraltar has a growing pool of professionals with expertise in blockchain technology, cryptocurrencies, and financial services, making it easier for VASPs to find and hire qualified personnel.</w:t>
      </w:r>
    </w:p>
    <w:p w14:paraId="2B5C1A08" w14:textId="77777777" w:rsidR="00480E9A" w:rsidRPr="00480E9A" w:rsidRDefault="00480E9A" w:rsidP="007D3AEB">
      <w:pPr>
        <w:spacing w:after="0" w:line="240" w:lineRule="auto"/>
        <w:jc w:val="both"/>
        <w:rPr>
          <w:rFonts w:eastAsia="Times New Roman" w:cstheme="minorHAnsi"/>
          <w:bCs/>
          <w:lang w:val="en-PH"/>
        </w:rPr>
      </w:pPr>
    </w:p>
    <w:p w14:paraId="5D1102D0" w14:textId="77777777" w:rsidR="00067855" w:rsidRDefault="00067855" w:rsidP="007D3AEB">
      <w:pPr>
        <w:pStyle w:val="ListParagraph"/>
        <w:numPr>
          <w:ilvl w:val="0"/>
          <w:numId w:val="64"/>
        </w:numPr>
        <w:spacing w:after="0" w:line="240" w:lineRule="auto"/>
        <w:jc w:val="both"/>
        <w:rPr>
          <w:rFonts w:eastAsia="Times New Roman" w:cstheme="minorHAnsi"/>
          <w:bCs/>
          <w:lang w:val="en-PH"/>
        </w:rPr>
      </w:pPr>
      <w:r w:rsidRPr="00067855">
        <w:rPr>
          <w:rFonts w:eastAsia="Times New Roman" w:cstheme="minorHAnsi"/>
          <w:bCs/>
          <w:u w:val="single"/>
          <w:lang w:val="en-PH"/>
        </w:rPr>
        <w:t>Favorable tax regime</w:t>
      </w:r>
      <w:r w:rsidRPr="00067855">
        <w:rPr>
          <w:rFonts w:eastAsia="Times New Roman" w:cstheme="minorHAnsi"/>
          <w:bCs/>
          <w:lang w:val="en-PH"/>
        </w:rPr>
        <w:t>: Gibraltar offers an attractive corporate tax system with a standard corporate tax rate of 10%. Additionally, there is no capital gains tax, withholding tax, or value-added tax in Gibraltar.</w:t>
      </w:r>
    </w:p>
    <w:p w14:paraId="1B63EAE9" w14:textId="77777777" w:rsidR="00480E9A" w:rsidRPr="00480E9A" w:rsidRDefault="00480E9A" w:rsidP="007D3AEB">
      <w:pPr>
        <w:spacing w:after="0" w:line="240" w:lineRule="auto"/>
        <w:jc w:val="both"/>
        <w:rPr>
          <w:rFonts w:eastAsia="Times New Roman" w:cstheme="minorHAnsi"/>
          <w:bCs/>
          <w:lang w:val="en-PH"/>
        </w:rPr>
      </w:pPr>
    </w:p>
    <w:p w14:paraId="70A5C624" w14:textId="77777777" w:rsidR="00067855" w:rsidRDefault="00067855" w:rsidP="007D3AEB">
      <w:pPr>
        <w:pStyle w:val="ListParagraph"/>
        <w:numPr>
          <w:ilvl w:val="0"/>
          <w:numId w:val="64"/>
        </w:numPr>
        <w:spacing w:after="0" w:line="240" w:lineRule="auto"/>
        <w:jc w:val="both"/>
        <w:rPr>
          <w:rFonts w:eastAsia="Times New Roman" w:cstheme="minorHAnsi"/>
          <w:bCs/>
          <w:lang w:val="en-PH"/>
        </w:rPr>
      </w:pPr>
      <w:r w:rsidRPr="00067855">
        <w:rPr>
          <w:rFonts w:eastAsia="Times New Roman" w:cstheme="minorHAnsi"/>
          <w:bCs/>
          <w:u w:val="single"/>
          <w:lang w:val="en-PH"/>
        </w:rPr>
        <w:t>Collaborative approach</w:t>
      </w:r>
      <w:r w:rsidRPr="00067855">
        <w:rPr>
          <w:rFonts w:eastAsia="Times New Roman" w:cstheme="minorHAnsi"/>
          <w:bCs/>
          <w:lang w:val="en-PH"/>
        </w:rPr>
        <w:t>: The Gibraltar government and the GFSC actively engage with industry stakeholders and promote the development of the blockchain and cryptocurrency ecosystem.</w:t>
      </w:r>
    </w:p>
    <w:p w14:paraId="718CABF4" w14:textId="77777777" w:rsidR="00480E9A" w:rsidRPr="00480E9A" w:rsidRDefault="00480E9A" w:rsidP="007D3AEB">
      <w:pPr>
        <w:spacing w:after="0" w:line="240" w:lineRule="auto"/>
        <w:jc w:val="both"/>
        <w:rPr>
          <w:rFonts w:eastAsia="Times New Roman" w:cstheme="minorHAnsi"/>
          <w:bCs/>
          <w:lang w:val="en-PH"/>
        </w:rPr>
      </w:pPr>
    </w:p>
    <w:p w14:paraId="22AF5874" w14:textId="77777777" w:rsidR="00067855" w:rsidRDefault="00067855" w:rsidP="007D3AEB">
      <w:pPr>
        <w:pStyle w:val="ListParagraph"/>
        <w:numPr>
          <w:ilvl w:val="0"/>
          <w:numId w:val="64"/>
        </w:numPr>
        <w:spacing w:after="0" w:line="240" w:lineRule="auto"/>
        <w:jc w:val="both"/>
        <w:rPr>
          <w:rFonts w:eastAsia="Times New Roman" w:cstheme="minorHAnsi"/>
          <w:bCs/>
          <w:lang w:val="en-PH"/>
        </w:rPr>
      </w:pPr>
      <w:r w:rsidRPr="00067855">
        <w:rPr>
          <w:rFonts w:eastAsia="Times New Roman" w:cstheme="minorHAnsi"/>
          <w:bCs/>
          <w:u w:val="single"/>
          <w:lang w:val="en-PH"/>
        </w:rPr>
        <w:t>Access to European markets</w:t>
      </w:r>
      <w:r w:rsidRPr="00067855">
        <w:rPr>
          <w:rFonts w:eastAsia="Times New Roman" w:cstheme="minorHAnsi"/>
          <w:bCs/>
          <w:lang w:val="en-PH"/>
        </w:rPr>
        <w:t>: Although Gibraltar is a British Overseas Territory, it maintains a close relationship with the European Union. This strategic location can provide VASPs with access to European markets, although the specific arrangements may change due to Brexit and other factors.</w:t>
      </w:r>
    </w:p>
    <w:p w14:paraId="629757AE" w14:textId="77777777" w:rsidR="00480E9A" w:rsidRPr="00480E9A" w:rsidRDefault="00480E9A" w:rsidP="007D3AEB">
      <w:pPr>
        <w:spacing w:after="0" w:line="240" w:lineRule="auto"/>
        <w:jc w:val="both"/>
        <w:rPr>
          <w:rFonts w:eastAsia="Times New Roman" w:cstheme="minorHAnsi"/>
          <w:bCs/>
          <w:lang w:val="en-PH"/>
        </w:rPr>
      </w:pPr>
    </w:p>
    <w:p w14:paraId="1DB698D6" w14:textId="77777777" w:rsidR="00480E9A" w:rsidRDefault="00067855" w:rsidP="007D3AEB">
      <w:pPr>
        <w:pStyle w:val="ListParagraph"/>
        <w:numPr>
          <w:ilvl w:val="0"/>
          <w:numId w:val="64"/>
        </w:numPr>
        <w:spacing w:after="0" w:line="240" w:lineRule="auto"/>
        <w:jc w:val="both"/>
        <w:rPr>
          <w:rFonts w:eastAsia="Times New Roman" w:cstheme="minorHAnsi"/>
          <w:bCs/>
          <w:lang w:val="en-PH"/>
        </w:rPr>
      </w:pPr>
      <w:r w:rsidRPr="00067855">
        <w:rPr>
          <w:rFonts w:eastAsia="Times New Roman" w:cstheme="minorHAnsi"/>
          <w:bCs/>
          <w:u w:val="single"/>
          <w:lang w:val="en-PH"/>
        </w:rPr>
        <w:t>AML/CFT framework</w:t>
      </w:r>
      <w:r w:rsidRPr="00067855">
        <w:rPr>
          <w:rFonts w:eastAsia="Times New Roman" w:cstheme="minorHAnsi"/>
          <w:bCs/>
          <w:lang w:val="en-PH"/>
        </w:rPr>
        <w:t>: Gibraltar has implemented strong AML/CFT regulations, ensuring that VASPs operating in the jurisdiction adhere to international standards and best practices.</w:t>
      </w:r>
    </w:p>
    <w:p w14:paraId="01120CA8" w14:textId="77777777" w:rsidR="00480E9A" w:rsidRPr="00480E9A" w:rsidRDefault="00480E9A" w:rsidP="007D3AEB">
      <w:pPr>
        <w:pStyle w:val="ListParagraph"/>
        <w:rPr>
          <w:rFonts w:eastAsia="Times New Roman" w:cstheme="minorHAnsi"/>
          <w:bCs/>
          <w:u w:val="single"/>
          <w:lang w:val="en-PH"/>
        </w:rPr>
      </w:pPr>
    </w:p>
    <w:p w14:paraId="4C2A2D24" w14:textId="6F049435" w:rsidR="00067855" w:rsidRPr="00480E9A" w:rsidRDefault="00067855" w:rsidP="007D3AEB">
      <w:pPr>
        <w:pStyle w:val="ListParagraph"/>
        <w:numPr>
          <w:ilvl w:val="0"/>
          <w:numId w:val="64"/>
        </w:numPr>
        <w:spacing w:after="0" w:line="240" w:lineRule="auto"/>
        <w:jc w:val="both"/>
        <w:rPr>
          <w:rFonts w:eastAsia="Times New Roman" w:cstheme="minorHAnsi"/>
          <w:bCs/>
          <w:lang w:val="en-PH"/>
        </w:rPr>
      </w:pPr>
      <w:r w:rsidRPr="00480E9A">
        <w:rPr>
          <w:rFonts w:eastAsia="Times New Roman" w:cstheme="minorHAnsi"/>
          <w:bCs/>
          <w:u w:val="single"/>
          <w:lang w:val="en-PH"/>
        </w:rPr>
        <w:t>English common law</w:t>
      </w:r>
      <w:r w:rsidRPr="00480E9A">
        <w:rPr>
          <w:rFonts w:eastAsia="Times New Roman" w:cstheme="minorHAnsi"/>
          <w:bCs/>
          <w:lang w:val="en-PH"/>
        </w:rPr>
        <w:t>: Gibraltar’s legal system is based on English common law, which provides a familiar and stable legal environment for businesses from common law jurisdictions.</w:t>
      </w:r>
    </w:p>
    <w:p w14:paraId="21A2D74F" w14:textId="77777777" w:rsidR="006819D9" w:rsidRDefault="006819D9" w:rsidP="008C4DA8">
      <w:pPr>
        <w:jc w:val="both"/>
        <w:rPr>
          <w:rFonts w:eastAsia="Times New Roman"/>
          <w:i/>
          <w:lang w:val="en-SG"/>
        </w:rPr>
      </w:pPr>
    </w:p>
    <w:p w14:paraId="474E909A" w14:textId="77777777" w:rsidR="008C4DA8" w:rsidRPr="00FF627A" w:rsidRDefault="008C4DA8" w:rsidP="008C4DA8">
      <w:pPr>
        <w:jc w:val="both"/>
        <w:rPr>
          <w:rFonts w:eastAsia="Times New Roman"/>
          <w:i/>
          <w:lang w:val="en-SG"/>
        </w:rPr>
      </w:pPr>
    </w:p>
    <w:p w14:paraId="77240B7A" w14:textId="77777777" w:rsidR="0040481C" w:rsidRDefault="0040481C" w:rsidP="00855688">
      <w:pPr>
        <w:pStyle w:val="Disclaimer"/>
        <w:spacing w:before="0" w:after="0"/>
        <w:rPr>
          <w:rFonts w:ascii="Arial" w:hAnsi="Arial" w:cs="Arial"/>
          <w:b/>
          <w:bCs/>
          <w:sz w:val="22"/>
          <w:szCs w:val="22"/>
        </w:rPr>
      </w:pPr>
      <w:bookmarkStart w:id="30" w:name="_Hlk171091278"/>
      <w:r w:rsidRPr="00057737">
        <w:rPr>
          <w:rFonts w:ascii="Arial" w:hAnsi="Arial" w:cs="Arial"/>
          <w:b/>
          <w:bCs/>
          <w:sz w:val="22"/>
          <w:szCs w:val="22"/>
        </w:rPr>
        <w:lastRenderedPageBreak/>
        <w:t>Disclaimer</w:t>
      </w:r>
    </w:p>
    <w:p w14:paraId="793A0C16" w14:textId="77777777" w:rsidR="00855688" w:rsidRPr="00057737" w:rsidRDefault="00855688" w:rsidP="00855688">
      <w:pPr>
        <w:pStyle w:val="Disclaimer"/>
        <w:spacing w:before="0" w:after="0"/>
        <w:rPr>
          <w:rFonts w:ascii="Arial" w:hAnsi="Arial" w:cs="Arial"/>
          <w:b/>
          <w:bCs/>
          <w:sz w:val="22"/>
          <w:szCs w:val="22"/>
        </w:rPr>
      </w:pPr>
    </w:p>
    <w:p w14:paraId="3CD936F7" w14:textId="77777777" w:rsidR="0040481C" w:rsidRDefault="0040481C" w:rsidP="00855688">
      <w:pPr>
        <w:pStyle w:val="Disclaimer"/>
        <w:spacing w:before="0" w:after="0"/>
        <w:rPr>
          <w:rFonts w:ascii="Arial" w:hAnsi="Arial" w:cs="Arial"/>
          <w:sz w:val="22"/>
          <w:szCs w:val="22"/>
        </w:rPr>
      </w:pPr>
      <w:r w:rsidRPr="00057737">
        <w:rPr>
          <w:rFonts w:ascii="Arial" w:hAnsi="Arial" w:cs="Arial"/>
          <w:sz w:val="22"/>
          <w:szCs w:val="22"/>
        </w:rPr>
        <w:t>This guide is intended solely for informational and educational purposes. The contents of this guide shall not be interpreted nor construed as legal, tax, investment, financial, or other professional advice. Nothing within this guide constitutes a solicitation, recommendation, endorsement.</w:t>
      </w:r>
    </w:p>
    <w:p w14:paraId="54FA230D" w14:textId="77777777" w:rsidR="00855688" w:rsidRPr="00057737" w:rsidRDefault="00855688" w:rsidP="00855688">
      <w:pPr>
        <w:pStyle w:val="Disclaimer"/>
        <w:spacing w:before="0" w:after="0"/>
        <w:rPr>
          <w:rFonts w:ascii="Arial" w:hAnsi="Arial" w:cs="Arial"/>
          <w:sz w:val="22"/>
          <w:szCs w:val="22"/>
        </w:rPr>
      </w:pPr>
    </w:p>
    <w:p w14:paraId="741E6E14" w14:textId="77777777" w:rsidR="0040481C" w:rsidRDefault="0040481C" w:rsidP="00855688">
      <w:pPr>
        <w:pStyle w:val="Disclaimer"/>
        <w:spacing w:before="0" w:after="0"/>
        <w:rPr>
          <w:rFonts w:ascii="Arial" w:hAnsi="Arial" w:cs="Arial"/>
          <w:sz w:val="22"/>
          <w:szCs w:val="22"/>
        </w:rPr>
      </w:pPr>
      <w:r w:rsidRPr="00057737">
        <w:rPr>
          <w:rFonts w:ascii="Arial" w:hAnsi="Arial" w:cs="Arial"/>
          <w:sz w:val="22"/>
          <w:szCs w:val="22"/>
        </w:rPr>
        <w:t>We take no responsibility or liability for the information and data provided herein, nor do we have any duty to review, verify, or investigate the completeness, accuracy, sufficiency, integrity, reliability, or timeliness of such information. We make no representations or warranties regarding its accuracy, completeness, or usefulness.</w:t>
      </w:r>
    </w:p>
    <w:p w14:paraId="23BC14D7" w14:textId="77777777" w:rsidR="00855688" w:rsidRPr="00057737" w:rsidRDefault="00855688" w:rsidP="00855688">
      <w:pPr>
        <w:pStyle w:val="Disclaimer"/>
        <w:spacing w:before="0" w:after="0"/>
        <w:rPr>
          <w:rFonts w:ascii="Arial" w:hAnsi="Arial" w:cs="Arial"/>
          <w:sz w:val="22"/>
          <w:szCs w:val="22"/>
        </w:rPr>
      </w:pPr>
    </w:p>
    <w:p w14:paraId="4E71F8FD" w14:textId="77777777" w:rsidR="0040481C" w:rsidRDefault="0040481C" w:rsidP="00855688">
      <w:pPr>
        <w:pStyle w:val="Disclaimer"/>
        <w:spacing w:before="0" w:after="0"/>
        <w:rPr>
          <w:rFonts w:ascii="Arial" w:hAnsi="Arial" w:cs="Arial"/>
          <w:sz w:val="22"/>
          <w:szCs w:val="22"/>
        </w:rPr>
      </w:pPr>
      <w:r w:rsidRPr="00057737">
        <w:rPr>
          <w:rFonts w:ascii="Arial" w:hAnsi="Arial" w:cs="Arial"/>
          <w:sz w:val="22"/>
          <w:szCs w:val="22"/>
        </w:rPr>
        <w:t xml:space="preserve">Any reliance you place on this information is strictly at your own risk. We disclaim all liability arising from any reliance placed on these materials by you or any other visitor to this guide. Under no circumstances shall we be liable for any loss or damage incurred </w:t>
      </w:r>
      <w:proofErr w:type="gramStart"/>
      <w:r w:rsidRPr="00057737">
        <w:rPr>
          <w:rFonts w:ascii="Arial" w:hAnsi="Arial" w:cs="Arial"/>
          <w:sz w:val="22"/>
          <w:szCs w:val="22"/>
        </w:rPr>
        <w:t>as a result of</w:t>
      </w:r>
      <w:proofErr w:type="gramEnd"/>
      <w:r w:rsidRPr="00057737">
        <w:rPr>
          <w:rFonts w:ascii="Arial" w:hAnsi="Arial" w:cs="Arial"/>
          <w:sz w:val="22"/>
          <w:szCs w:val="22"/>
        </w:rPr>
        <w:t xml:space="preserve"> using this guide or relying on the information provided.</w:t>
      </w:r>
    </w:p>
    <w:p w14:paraId="7C0B0A2F" w14:textId="77777777" w:rsidR="00855688" w:rsidRPr="00057737" w:rsidRDefault="00855688" w:rsidP="00855688">
      <w:pPr>
        <w:pStyle w:val="Disclaimer"/>
        <w:spacing w:before="0" w:after="0"/>
        <w:rPr>
          <w:rFonts w:ascii="Arial" w:hAnsi="Arial" w:cs="Arial"/>
          <w:sz w:val="22"/>
          <w:szCs w:val="22"/>
        </w:rPr>
      </w:pPr>
    </w:p>
    <w:p w14:paraId="0569E857" w14:textId="77777777" w:rsidR="0040481C" w:rsidRDefault="0040481C" w:rsidP="00855688">
      <w:pPr>
        <w:pStyle w:val="Disclaimer"/>
        <w:spacing w:before="0" w:after="0"/>
        <w:rPr>
          <w:rFonts w:ascii="Arial" w:hAnsi="Arial" w:cs="Arial"/>
          <w:sz w:val="22"/>
          <w:szCs w:val="22"/>
        </w:rPr>
      </w:pPr>
      <w:r w:rsidRPr="00057737">
        <w:rPr>
          <w:rFonts w:ascii="Arial" w:hAnsi="Arial" w:cs="Arial"/>
          <w:sz w:val="22"/>
          <w:szCs w:val="22"/>
        </w:rPr>
        <w:t>Your use of this guide and reliance on any information it contains is governed by this disclaimer and our terms of use.</w:t>
      </w:r>
    </w:p>
    <w:p w14:paraId="4BFB9E37" w14:textId="20A1BB76" w:rsidR="00A57542" w:rsidRPr="00A405AA" w:rsidRDefault="00B4763A" w:rsidP="00A405AA">
      <w:pPr>
        <w:shd w:val="clear" w:color="auto" w:fill="000000"/>
        <w:spacing w:after="200"/>
        <w:jc w:val="center"/>
        <w:rPr>
          <w:rFonts w:ascii="Arial" w:eastAsia="Cambria" w:hAnsi="Arial" w:cs="Arial"/>
          <w:color w:val="FFFFFF"/>
          <w:lang w:val="en-GB"/>
        </w:rPr>
      </w:pPr>
      <w:r w:rsidRPr="002A32F6">
        <w:rPr>
          <w:rFonts w:ascii="Arial" w:hAnsi="Arial" w:cs="Arial"/>
          <w:lang w:val="en-GB"/>
        </w:rPr>
        <w:t>Charltons</w:t>
      </w:r>
      <w:r w:rsidR="00840613" w:rsidRPr="002A32F6">
        <w:rPr>
          <w:rFonts w:ascii="Arial" w:hAnsi="Arial" w:cs="Arial"/>
          <w:lang w:val="en-GB"/>
        </w:rPr>
        <w:t xml:space="preserve"> Quantum</w:t>
      </w:r>
      <w:r w:rsidR="00496C17">
        <w:rPr>
          <w:rFonts w:ascii="Arial" w:hAnsi="Arial" w:cs="Arial"/>
          <w:lang w:val="en-GB"/>
        </w:rPr>
        <w:t xml:space="preserve"> </w:t>
      </w:r>
      <w:r w:rsidR="00840613" w:rsidRPr="002A32F6">
        <w:rPr>
          <w:rFonts w:ascii="Arial" w:hAnsi="Arial" w:cs="Arial"/>
          <w:lang w:val="en-GB"/>
        </w:rPr>
        <w:t>–</w:t>
      </w:r>
      <w:r w:rsidR="00496C17">
        <w:rPr>
          <w:rFonts w:ascii="Arial" w:hAnsi="Arial" w:cs="Arial"/>
          <w:lang w:val="en-GB"/>
        </w:rPr>
        <w:t xml:space="preserve"> </w:t>
      </w:r>
      <w:r w:rsidR="0021140B">
        <w:rPr>
          <w:rFonts w:ascii="Arial" w:hAnsi="Arial" w:cs="Arial"/>
          <w:lang w:val="en-GB"/>
        </w:rPr>
        <w:t>Crypto Guide</w:t>
      </w:r>
      <w:r w:rsidR="00840613" w:rsidRPr="002A32F6">
        <w:rPr>
          <w:rFonts w:ascii="Arial" w:hAnsi="Arial" w:cs="Arial"/>
          <w:lang w:val="en-GB"/>
        </w:rPr>
        <w:t xml:space="preserve"> </w:t>
      </w:r>
      <w:r w:rsidRPr="002A32F6">
        <w:rPr>
          <w:rFonts w:ascii="Arial" w:hAnsi="Arial" w:cs="Arial"/>
          <w:lang w:val="en-GB"/>
        </w:rPr>
        <w:t xml:space="preserve">– </w:t>
      </w:r>
      <w:bookmarkEnd w:id="30"/>
      <w:r w:rsidR="00092ADC" w:rsidRPr="00092ADC">
        <w:rPr>
          <w:rFonts w:ascii="Arial" w:eastAsia="Cambria" w:hAnsi="Arial" w:cs="Arial"/>
          <w:lang w:val="en-GB"/>
        </w:rPr>
        <w:t>Gibraltar</w:t>
      </w:r>
      <w:r w:rsidR="00A405AA">
        <w:rPr>
          <w:rFonts w:ascii="Arial" w:eastAsia="Cambria" w:hAnsi="Arial" w:cs="Arial"/>
          <w:lang w:val="en-GB"/>
        </w:rPr>
        <w:t xml:space="preserve"> </w:t>
      </w:r>
      <w:r w:rsidR="00A405AA" w:rsidRPr="006874F7">
        <w:rPr>
          <w:rFonts w:ascii="Arial" w:eastAsia="Cambria" w:hAnsi="Arial" w:cs="Arial"/>
          <w:color w:val="FFFFFF"/>
          <w:lang w:val="en-GB"/>
        </w:rPr>
        <w:t xml:space="preserve">– </w:t>
      </w:r>
      <w:r w:rsidR="00092ADC">
        <w:rPr>
          <w:rFonts w:ascii="Arial" w:eastAsia="Cambria" w:hAnsi="Arial" w:cs="Arial"/>
          <w:color w:val="FFFFFF"/>
          <w:lang w:val="en-GB"/>
        </w:rPr>
        <w:t>April</w:t>
      </w:r>
      <w:r w:rsidR="00A405AA">
        <w:rPr>
          <w:rFonts w:ascii="Arial" w:eastAsia="Cambria" w:hAnsi="Arial" w:cs="Arial"/>
          <w:color w:val="FFFFFF"/>
          <w:lang w:val="en-GB"/>
        </w:rPr>
        <w:t xml:space="preserve"> 2024</w:t>
      </w:r>
    </w:p>
    <w:sectPr w:rsidR="00A57542" w:rsidRPr="00A405AA" w:rsidSect="00D12396">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74D811" w14:textId="77777777" w:rsidR="00137DD6" w:rsidRDefault="00137DD6" w:rsidP="005A6CCC">
      <w:pPr>
        <w:spacing w:after="0" w:line="240" w:lineRule="auto"/>
      </w:pPr>
      <w:r>
        <w:separator/>
      </w:r>
    </w:p>
  </w:endnote>
  <w:endnote w:type="continuationSeparator" w:id="0">
    <w:p w14:paraId="3D756E5A" w14:textId="77777777" w:rsidR="00137DD6" w:rsidRDefault="00137DD6" w:rsidP="005A6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99D3E" w14:textId="77777777" w:rsidR="005A6CCC" w:rsidRDefault="005A6C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6740583"/>
      <w:docPartObj>
        <w:docPartGallery w:val="Page Numbers (Bottom of Page)"/>
        <w:docPartUnique/>
      </w:docPartObj>
    </w:sdtPr>
    <w:sdtEndPr>
      <w:rPr>
        <w:noProof/>
      </w:rPr>
    </w:sdtEndPr>
    <w:sdtContent>
      <w:p w14:paraId="50C06F34" w14:textId="206FA765" w:rsidR="005A6CCC" w:rsidRDefault="005A6CCC" w:rsidP="003A31D5">
        <w:pPr>
          <w:pStyle w:val="Footer"/>
          <w:jc w:val="right"/>
        </w:pPr>
        <w:r w:rsidRPr="003A31D5">
          <w:rPr>
            <w:color w:val="FF6E00"/>
          </w:rPr>
          <w:fldChar w:fldCharType="begin"/>
        </w:r>
        <w:r w:rsidRPr="003A31D5">
          <w:rPr>
            <w:color w:val="FF6E00"/>
          </w:rPr>
          <w:instrText xml:space="preserve"> PAGE   \* MERGEFORMAT </w:instrText>
        </w:r>
        <w:r w:rsidRPr="003A31D5">
          <w:rPr>
            <w:color w:val="FF6E00"/>
          </w:rPr>
          <w:fldChar w:fldCharType="separate"/>
        </w:r>
        <w:r w:rsidRPr="003A31D5">
          <w:rPr>
            <w:noProof/>
            <w:color w:val="FF6E00"/>
          </w:rPr>
          <w:t>2</w:t>
        </w:r>
        <w:r w:rsidRPr="003A31D5">
          <w:rPr>
            <w:noProof/>
            <w:color w:val="FF6E00"/>
          </w:rPr>
          <w:fldChar w:fldCharType="end"/>
        </w:r>
      </w:p>
    </w:sdtContent>
  </w:sdt>
  <w:p w14:paraId="6DD5A374" w14:textId="77777777" w:rsidR="005A6CCC" w:rsidRDefault="005A6C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58ADF" w14:textId="77777777" w:rsidR="005A6CCC" w:rsidRDefault="005A6C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6F2A11" w14:textId="77777777" w:rsidR="00137DD6" w:rsidRDefault="00137DD6" w:rsidP="005A6CCC">
      <w:pPr>
        <w:spacing w:after="0" w:line="240" w:lineRule="auto"/>
      </w:pPr>
      <w:r>
        <w:separator/>
      </w:r>
    </w:p>
  </w:footnote>
  <w:footnote w:type="continuationSeparator" w:id="0">
    <w:p w14:paraId="21727A5F" w14:textId="77777777" w:rsidR="00137DD6" w:rsidRDefault="00137DD6" w:rsidP="005A6C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75F53" w14:textId="77777777" w:rsidR="005A6CCC" w:rsidRDefault="005A6C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9F4B1" w14:textId="77777777" w:rsidR="005A6CCC" w:rsidRDefault="005A6C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8AEA5" w14:textId="77777777" w:rsidR="005A6CCC" w:rsidRDefault="005A6C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24C58"/>
    <w:multiLevelType w:val="multilevel"/>
    <w:tmpl w:val="2E4C69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AA1EEC"/>
    <w:multiLevelType w:val="hybridMultilevel"/>
    <w:tmpl w:val="14240720"/>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06C8459C"/>
    <w:multiLevelType w:val="hybridMultilevel"/>
    <w:tmpl w:val="6F28BAAC"/>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3" w15:restartNumberingAfterBreak="0">
    <w:nsid w:val="086662DB"/>
    <w:multiLevelType w:val="hybridMultilevel"/>
    <w:tmpl w:val="984076E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0BE76055"/>
    <w:multiLevelType w:val="hybridMultilevel"/>
    <w:tmpl w:val="A1ACB940"/>
    <w:lvl w:ilvl="0" w:tplc="F69EC026">
      <w:start w:val="1"/>
      <w:numFmt w:val="lowerRoman"/>
      <w:lvlText w:val="(%1)"/>
      <w:lvlJc w:val="left"/>
      <w:pPr>
        <w:ind w:left="1080" w:hanging="360"/>
      </w:pPr>
      <w:rPr>
        <w:rFonts w:hint="default"/>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C06770D"/>
    <w:multiLevelType w:val="hybridMultilevel"/>
    <w:tmpl w:val="22AC8092"/>
    <w:lvl w:ilvl="0" w:tplc="3409001B">
      <w:start w:val="1"/>
      <w:numFmt w:val="lowerRoman"/>
      <w:lvlText w:val="%1."/>
      <w:lvlJc w:val="right"/>
      <w:pPr>
        <w:ind w:left="1080" w:hanging="360"/>
      </w:pPr>
    </w:lvl>
    <w:lvl w:ilvl="1" w:tplc="34090001">
      <w:start w:val="1"/>
      <w:numFmt w:val="bullet"/>
      <w:lvlText w:val=""/>
      <w:lvlJc w:val="left"/>
      <w:pPr>
        <w:ind w:left="1800" w:hanging="360"/>
      </w:pPr>
      <w:rPr>
        <w:rFonts w:ascii="Symbol" w:hAnsi="Symbol" w:hint="default"/>
      </w:rPr>
    </w:lvl>
    <w:lvl w:ilvl="2" w:tplc="3409001B">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6" w15:restartNumberingAfterBreak="0">
    <w:nsid w:val="10EF4A16"/>
    <w:multiLevelType w:val="multilevel"/>
    <w:tmpl w:val="F71A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6851B8"/>
    <w:multiLevelType w:val="hybridMultilevel"/>
    <w:tmpl w:val="8E5CC686"/>
    <w:lvl w:ilvl="0" w:tplc="3409000F">
      <w:start w:val="1"/>
      <w:numFmt w:val="decimal"/>
      <w:lvlText w:val="%1."/>
      <w:lvlJc w:val="left"/>
      <w:pPr>
        <w:ind w:left="360" w:hanging="360"/>
      </w:p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8" w15:restartNumberingAfterBreak="0">
    <w:nsid w:val="13FF5272"/>
    <w:multiLevelType w:val="multilevel"/>
    <w:tmpl w:val="52085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007E3E"/>
    <w:multiLevelType w:val="hybridMultilevel"/>
    <w:tmpl w:val="DA1AD170"/>
    <w:lvl w:ilvl="0" w:tplc="F69EC026">
      <w:start w:val="1"/>
      <w:numFmt w:val="lowerRoman"/>
      <w:lvlText w:val="(%1)"/>
      <w:lvlJc w:val="left"/>
      <w:pPr>
        <w:ind w:left="360" w:hanging="360"/>
      </w:pPr>
      <w:rPr>
        <w:rFonts w:hint="default"/>
        <w:sz w:val="22"/>
        <w:szCs w:val="22"/>
      </w:rPr>
    </w:lvl>
    <w:lvl w:ilvl="1" w:tplc="34090019" w:tentative="1">
      <w:start w:val="1"/>
      <w:numFmt w:val="lowerLetter"/>
      <w:lvlText w:val="%2."/>
      <w:lvlJc w:val="left"/>
      <w:pPr>
        <w:ind w:left="720" w:hanging="360"/>
      </w:pPr>
    </w:lvl>
    <w:lvl w:ilvl="2" w:tplc="3409001B" w:tentative="1">
      <w:start w:val="1"/>
      <w:numFmt w:val="lowerRoman"/>
      <w:lvlText w:val="%3."/>
      <w:lvlJc w:val="right"/>
      <w:pPr>
        <w:ind w:left="1440" w:hanging="180"/>
      </w:pPr>
    </w:lvl>
    <w:lvl w:ilvl="3" w:tplc="3409000F" w:tentative="1">
      <w:start w:val="1"/>
      <w:numFmt w:val="decimal"/>
      <w:lvlText w:val="%4."/>
      <w:lvlJc w:val="left"/>
      <w:pPr>
        <w:ind w:left="2160" w:hanging="360"/>
      </w:pPr>
    </w:lvl>
    <w:lvl w:ilvl="4" w:tplc="34090019" w:tentative="1">
      <w:start w:val="1"/>
      <w:numFmt w:val="lowerLetter"/>
      <w:lvlText w:val="%5."/>
      <w:lvlJc w:val="left"/>
      <w:pPr>
        <w:ind w:left="2880" w:hanging="360"/>
      </w:pPr>
    </w:lvl>
    <w:lvl w:ilvl="5" w:tplc="3409001B" w:tentative="1">
      <w:start w:val="1"/>
      <w:numFmt w:val="lowerRoman"/>
      <w:lvlText w:val="%6."/>
      <w:lvlJc w:val="right"/>
      <w:pPr>
        <w:ind w:left="3600" w:hanging="180"/>
      </w:pPr>
    </w:lvl>
    <w:lvl w:ilvl="6" w:tplc="3409000F" w:tentative="1">
      <w:start w:val="1"/>
      <w:numFmt w:val="decimal"/>
      <w:lvlText w:val="%7."/>
      <w:lvlJc w:val="left"/>
      <w:pPr>
        <w:ind w:left="4320" w:hanging="360"/>
      </w:pPr>
    </w:lvl>
    <w:lvl w:ilvl="7" w:tplc="34090019" w:tentative="1">
      <w:start w:val="1"/>
      <w:numFmt w:val="lowerLetter"/>
      <w:lvlText w:val="%8."/>
      <w:lvlJc w:val="left"/>
      <w:pPr>
        <w:ind w:left="5040" w:hanging="360"/>
      </w:pPr>
    </w:lvl>
    <w:lvl w:ilvl="8" w:tplc="3409001B" w:tentative="1">
      <w:start w:val="1"/>
      <w:numFmt w:val="lowerRoman"/>
      <w:lvlText w:val="%9."/>
      <w:lvlJc w:val="right"/>
      <w:pPr>
        <w:ind w:left="5760" w:hanging="180"/>
      </w:pPr>
    </w:lvl>
  </w:abstractNum>
  <w:abstractNum w:abstractNumId="10" w15:restartNumberingAfterBreak="0">
    <w:nsid w:val="16753D44"/>
    <w:multiLevelType w:val="multilevel"/>
    <w:tmpl w:val="430EE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6BA7FA1"/>
    <w:multiLevelType w:val="multilevel"/>
    <w:tmpl w:val="545CA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8B92EDF"/>
    <w:multiLevelType w:val="multilevel"/>
    <w:tmpl w:val="B52ABBA2"/>
    <w:lvl w:ilvl="0">
      <w:start w:val="1"/>
      <w:numFmt w:val="bullet"/>
      <w:lvlText w:val="o"/>
      <w:lvlJc w:val="left"/>
      <w:pPr>
        <w:tabs>
          <w:tab w:val="num" w:pos="644"/>
        </w:tabs>
        <w:ind w:left="644" w:hanging="360"/>
      </w:pPr>
      <w:rPr>
        <w:rFonts w:ascii="Courier New" w:hAnsi="Courier New" w:cs="Courier New" w:hint="default"/>
        <w:sz w:val="20"/>
      </w:rPr>
    </w:lvl>
    <w:lvl w:ilvl="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3" w15:restartNumberingAfterBreak="0">
    <w:nsid w:val="197A17CB"/>
    <w:multiLevelType w:val="hybridMultilevel"/>
    <w:tmpl w:val="D7F0C4DC"/>
    <w:lvl w:ilvl="0" w:tplc="F69EC026">
      <w:start w:val="1"/>
      <w:numFmt w:val="lowerRoman"/>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C0F0FA8"/>
    <w:multiLevelType w:val="hybridMultilevel"/>
    <w:tmpl w:val="9BD48626"/>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5" w15:restartNumberingAfterBreak="0">
    <w:nsid w:val="1DF27C42"/>
    <w:multiLevelType w:val="hybridMultilevel"/>
    <w:tmpl w:val="8F8EE09A"/>
    <w:lvl w:ilvl="0" w:tplc="F69EC026">
      <w:start w:val="1"/>
      <w:numFmt w:val="lowerRoman"/>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845E94"/>
    <w:multiLevelType w:val="hybridMultilevel"/>
    <w:tmpl w:val="11BA8050"/>
    <w:lvl w:ilvl="0" w:tplc="EF90F5B6">
      <w:start w:val="1"/>
      <w:numFmt w:val="decimal"/>
      <w:pStyle w:val="Heading1"/>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08C3376"/>
    <w:multiLevelType w:val="hybridMultilevel"/>
    <w:tmpl w:val="B1B606D6"/>
    <w:lvl w:ilvl="0" w:tplc="B52E331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2191581"/>
    <w:multiLevelType w:val="multilevel"/>
    <w:tmpl w:val="50541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44D3D53"/>
    <w:multiLevelType w:val="hybridMultilevel"/>
    <w:tmpl w:val="D93C66C0"/>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0" w15:restartNumberingAfterBreak="0">
    <w:nsid w:val="356B120F"/>
    <w:multiLevelType w:val="hybridMultilevel"/>
    <w:tmpl w:val="DB66607A"/>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1" w15:restartNumberingAfterBreak="0">
    <w:nsid w:val="37B01950"/>
    <w:multiLevelType w:val="hybridMultilevel"/>
    <w:tmpl w:val="E944878C"/>
    <w:lvl w:ilvl="0" w:tplc="F69EC026">
      <w:start w:val="1"/>
      <w:numFmt w:val="lowerRoman"/>
      <w:lvlText w:val="(%1)"/>
      <w:lvlJc w:val="left"/>
      <w:pPr>
        <w:ind w:left="1080" w:hanging="360"/>
      </w:pPr>
      <w:rPr>
        <w:rFonts w:hint="default"/>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3BA61508"/>
    <w:multiLevelType w:val="hybridMultilevel"/>
    <w:tmpl w:val="E222D0C8"/>
    <w:lvl w:ilvl="0" w:tplc="342CE462">
      <w:start w:val="1"/>
      <w:numFmt w:val="lowerRoman"/>
      <w:lvlText w:val="(%1)"/>
      <w:lvlJc w:val="left"/>
      <w:pPr>
        <w:ind w:left="1080" w:hanging="360"/>
      </w:pPr>
      <w:rPr>
        <w:rFonts w:hint="default"/>
        <w:i w:val="0"/>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3BBB3922"/>
    <w:multiLevelType w:val="hybridMultilevel"/>
    <w:tmpl w:val="36FE187E"/>
    <w:lvl w:ilvl="0" w:tplc="3409000F">
      <w:start w:val="1"/>
      <w:numFmt w:val="decimal"/>
      <w:lvlText w:val="%1."/>
      <w:lvlJc w:val="left"/>
      <w:pPr>
        <w:ind w:left="360" w:hanging="360"/>
      </w:p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24" w15:restartNumberingAfterBreak="0">
    <w:nsid w:val="3C07161F"/>
    <w:multiLevelType w:val="hybridMultilevel"/>
    <w:tmpl w:val="AEB874F4"/>
    <w:lvl w:ilvl="0" w:tplc="F69EC026">
      <w:start w:val="1"/>
      <w:numFmt w:val="lowerRoman"/>
      <w:lvlText w:val="(%1)"/>
      <w:lvlJc w:val="left"/>
      <w:pPr>
        <w:ind w:left="1440" w:hanging="360"/>
      </w:pPr>
      <w:rPr>
        <w:rFonts w:hint="default"/>
        <w:sz w:val="22"/>
        <w:szCs w:val="22"/>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5" w15:restartNumberingAfterBreak="0">
    <w:nsid w:val="3E2F57CD"/>
    <w:multiLevelType w:val="hybridMultilevel"/>
    <w:tmpl w:val="24CAE602"/>
    <w:lvl w:ilvl="0" w:tplc="F69EC026">
      <w:start w:val="1"/>
      <w:numFmt w:val="lowerRoman"/>
      <w:lvlText w:val="(%1)"/>
      <w:lvlJc w:val="left"/>
      <w:pPr>
        <w:ind w:left="1080" w:hanging="360"/>
      </w:pPr>
      <w:rPr>
        <w:rFonts w:hint="default"/>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44AC4862"/>
    <w:multiLevelType w:val="hybridMultilevel"/>
    <w:tmpl w:val="22CAE4B8"/>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7" w15:restartNumberingAfterBreak="0">
    <w:nsid w:val="46AE419C"/>
    <w:multiLevelType w:val="hybridMultilevel"/>
    <w:tmpl w:val="61B82574"/>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8" w15:restartNumberingAfterBreak="0">
    <w:nsid w:val="485F1CB1"/>
    <w:multiLevelType w:val="multilevel"/>
    <w:tmpl w:val="BA5AC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8DE24F6"/>
    <w:multiLevelType w:val="multilevel"/>
    <w:tmpl w:val="44562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B000C15"/>
    <w:multiLevelType w:val="hybridMultilevel"/>
    <w:tmpl w:val="5622AC7C"/>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31" w15:restartNumberingAfterBreak="0">
    <w:nsid w:val="4BB46A51"/>
    <w:multiLevelType w:val="hybridMultilevel"/>
    <w:tmpl w:val="01A8FED8"/>
    <w:lvl w:ilvl="0" w:tplc="3409001B">
      <w:start w:val="1"/>
      <w:numFmt w:val="lowerRoman"/>
      <w:lvlText w:val="%1."/>
      <w:lvlJc w:val="right"/>
      <w:pPr>
        <w:ind w:left="1080" w:hanging="360"/>
      </w:pPr>
    </w:lvl>
    <w:lvl w:ilvl="1" w:tplc="34090001">
      <w:start w:val="1"/>
      <w:numFmt w:val="bullet"/>
      <w:lvlText w:val=""/>
      <w:lvlJc w:val="left"/>
      <w:pPr>
        <w:ind w:left="1800" w:hanging="360"/>
      </w:pPr>
      <w:rPr>
        <w:rFonts w:ascii="Symbol" w:hAnsi="Symbol" w:hint="default"/>
      </w:r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32" w15:restartNumberingAfterBreak="0">
    <w:nsid w:val="51502C8F"/>
    <w:multiLevelType w:val="hybridMultilevel"/>
    <w:tmpl w:val="5502A318"/>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3" w15:restartNumberingAfterBreak="0">
    <w:nsid w:val="5191763C"/>
    <w:multiLevelType w:val="hybridMultilevel"/>
    <w:tmpl w:val="6598134E"/>
    <w:lvl w:ilvl="0" w:tplc="F69EC026">
      <w:start w:val="1"/>
      <w:numFmt w:val="lowerRoman"/>
      <w:lvlText w:val="(%1)"/>
      <w:lvlJc w:val="left"/>
      <w:pPr>
        <w:ind w:left="1440" w:hanging="360"/>
      </w:pPr>
      <w:rPr>
        <w:rFonts w:hint="default"/>
        <w:sz w:val="22"/>
        <w:szCs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51B00237"/>
    <w:multiLevelType w:val="multilevel"/>
    <w:tmpl w:val="34A27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3D71DF1"/>
    <w:multiLevelType w:val="hybridMultilevel"/>
    <w:tmpl w:val="B3C4F69C"/>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36" w15:restartNumberingAfterBreak="0">
    <w:nsid w:val="55FC75FE"/>
    <w:multiLevelType w:val="hybridMultilevel"/>
    <w:tmpl w:val="CA34A22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7" w15:restartNumberingAfterBreak="0">
    <w:nsid w:val="56E00586"/>
    <w:multiLevelType w:val="hybridMultilevel"/>
    <w:tmpl w:val="2C926C66"/>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38" w15:restartNumberingAfterBreak="0">
    <w:nsid w:val="59682E16"/>
    <w:multiLevelType w:val="multilevel"/>
    <w:tmpl w:val="5A107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C2423A1"/>
    <w:multiLevelType w:val="hybridMultilevel"/>
    <w:tmpl w:val="1BCCDF5A"/>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40" w15:restartNumberingAfterBreak="0">
    <w:nsid w:val="61D86DA6"/>
    <w:multiLevelType w:val="multilevel"/>
    <w:tmpl w:val="AF0A9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27A267A"/>
    <w:multiLevelType w:val="multilevel"/>
    <w:tmpl w:val="0F987FF2"/>
    <w:lvl w:ilvl="0">
      <w:start w:val="1"/>
      <w:numFmt w:val="lowerRoman"/>
      <w:lvlText w:val="%1."/>
      <w:lvlJc w:val="righ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2A647E2"/>
    <w:multiLevelType w:val="multilevel"/>
    <w:tmpl w:val="B69AE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51054D5"/>
    <w:multiLevelType w:val="multilevel"/>
    <w:tmpl w:val="68DAD8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6691C47"/>
    <w:multiLevelType w:val="hybridMultilevel"/>
    <w:tmpl w:val="669275B0"/>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45" w15:restartNumberingAfterBreak="0">
    <w:nsid w:val="66F221B4"/>
    <w:multiLevelType w:val="multilevel"/>
    <w:tmpl w:val="5DA85C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C2F0771"/>
    <w:multiLevelType w:val="hybridMultilevel"/>
    <w:tmpl w:val="A328C5E4"/>
    <w:lvl w:ilvl="0" w:tplc="3409001B">
      <w:start w:val="1"/>
      <w:numFmt w:val="lowerRoman"/>
      <w:lvlText w:val="%1."/>
      <w:lvlJc w:val="right"/>
      <w:pPr>
        <w:ind w:left="1080" w:hanging="360"/>
      </w:pPr>
    </w:lvl>
    <w:lvl w:ilvl="1" w:tplc="34090017">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47" w15:restartNumberingAfterBreak="0">
    <w:nsid w:val="6C3F6CFB"/>
    <w:multiLevelType w:val="hybridMultilevel"/>
    <w:tmpl w:val="6562C1F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8" w15:restartNumberingAfterBreak="0">
    <w:nsid w:val="6E82520A"/>
    <w:multiLevelType w:val="multilevel"/>
    <w:tmpl w:val="1D1CF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F1251DE"/>
    <w:multiLevelType w:val="hybridMultilevel"/>
    <w:tmpl w:val="0024CAD0"/>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50" w15:restartNumberingAfterBreak="0">
    <w:nsid w:val="727660C3"/>
    <w:multiLevelType w:val="hybridMultilevel"/>
    <w:tmpl w:val="A1ACB940"/>
    <w:lvl w:ilvl="0" w:tplc="F69EC026">
      <w:start w:val="1"/>
      <w:numFmt w:val="lowerRoman"/>
      <w:lvlText w:val="(%1)"/>
      <w:lvlJc w:val="left"/>
      <w:pPr>
        <w:ind w:left="1077" w:hanging="360"/>
      </w:pPr>
      <w:rPr>
        <w:rFonts w:hint="default"/>
        <w:sz w:val="22"/>
        <w:szCs w:val="22"/>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51" w15:restartNumberingAfterBreak="0">
    <w:nsid w:val="72932FB2"/>
    <w:multiLevelType w:val="hybridMultilevel"/>
    <w:tmpl w:val="104697D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2" w15:restartNumberingAfterBreak="0">
    <w:nsid w:val="729A4413"/>
    <w:multiLevelType w:val="hybridMultilevel"/>
    <w:tmpl w:val="84AC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2C06F70"/>
    <w:multiLevelType w:val="multilevel"/>
    <w:tmpl w:val="C32AA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47F00D8"/>
    <w:multiLevelType w:val="hybridMultilevel"/>
    <w:tmpl w:val="39B8AA9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5" w15:restartNumberingAfterBreak="0">
    <w:nsid w:val="785A7799"/>
    <w:multiLevelType w:val="multilevel"/>
    <w:tmpl w:val="13866B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97F559F"/>
    <w:multiLevelType w:val="hybridMultilevel"/>
    <w:tmpl w:val="08F85C86"/>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57" w15:restartNumberingAfterBreak="0">
    <w:nsid w:val="7CBD2E4E"/>
    <w:multiLevelType w:val="multilevel"/>
    <w:tmpl w:val="55783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E8D471E"/>
    <w:multiLevelType w:val="hybridMultilevel"/>
    <w:tmpl w:val="3FCCD30E"/>
    <w:lvl w:ilvl="0" w:tplc="F69EC026">
      <w:start w:val="1"/>
      <w:numFmt w:val="lowerRoman"/>
      <w:lvlText w:val="(%1)"/>
      <w:lvlJc w:val="left"/>
      <w:pPr>
        <w:ind w:left="1080" w:hanging="360"/>
      </w:pPr>
      <w:rPr>
        <w:rFonts w:hint="default"/>
        <w:sz w:val="22"/>
        <w:szCs w:val="22"/>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9" w15:restartNumberingAfterBreak="0">
    <w:nsid w:val="7F955BF8"/>
    <w:multiLevelType w:val="multilevel"/>
    <w:tmpl w:val="0C568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FAB0DE4"/>
    <w:multiLevelType w:val="multilevel"/>
    <w:tmpl w:val="1292A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044493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11202141">
    <w:abstractNumId w:val="52"/>
  </w:num>
  <w:num w:numId="3" w16cid:durableId="973294829">
    <w:abstractNumId w:val="12"/>
  </w:num>
  <w:num w:numId="4" w16cid:durableId="555043017">
    <w:abstractNumId w:val="0"/>
  </w:num>
  <w:num w:numId="5" w16cid:durableId="1115052401">
    <w:abstractNumId w:val="59"/>
  </w:num>
  <w:num w:numId="6" w16cid:durableId="1355031481">
    <w:abstractNumId w:val="34"/>
  </w:num>
  <w:num w:numId="7" w16cid:durableId="2017657778">
    <w:abstractNumId w:val="38"/>
  </w:num>
  <w:num w:numId="8" w16cid:durableId="216361102">
    <w:abstractNumId w:val="28"/>
  </w:num>
  <w:num w:numId="9" w16cid:durableId="604732300">
    <w:abstractNumId w:val="43"/>
  </w:num>
  <w:num w:numId="10" w16cid:durableId="1132018037">
    <w:abstractNumId w:val="3"/>
  </w:num>
  <w:num w:numId="11" w16cid:durableId="1221555931">
    <w:abstractNumId w:val="54"/>
  </w:num>
  <w:num w:numId="12" w16cid:durableId="1092899972">
    <w:abstractNumId w:val="6"/>
  </w:num>
  <w:num w:numId="13" w16cid:durableId="1963459333">
    <w:abstractNumId w:val="1"/>
  </w:num>
  <w:num w:numId="14" w16cid:durableId="661202714">
    <w:abstractNumId w:val="42"/>
    <w:lvlOverride w:ilvl="0">
      <w:lvl w:ilvl="0">
        <w:numFmt w:val="lowerRoman"/>
        <w:lvlText w:val="%1."/>
        <w:lvlJc w:val="right"/>
      </w:lvl>
    </w:lvlOverride>
  </w:num>
  <w:num w:numId="15" w16cid:durableId="1415124718">
    <w:abstractNumId w:val="42"/>
    <w:lvlOverride w:ilvl="0">
      <w:lvl w:ilvl="0">
        <w:numFmt w:val="lowerRoman"/>
        <w:lvlText w:val="%1."/>
        <w:lvlJc w:val="right"/>
      </w:lvl>
    </w:lvlOverride>
  </w:num>
  <w:num w:numId="16" w16cid:durableId="356656828">
    <w:abstractNumId w:val="42"/>
    <w:lvlOverride w:ilvl="0">
      <w:lvl w:ilvl="0">
        <w:numFmt w:val="lowerRoman"/>
        <w:lvlText w:val="%1."/>
        <w:lvlJc w:val="right"/>
      </w:lvl>
    </w:lvlOverride>
  </w:num>
  <w:num w:numId="17" w16cid:durableId="1517766985">
    <w:abstractNumId w:val="42"/>
    <w:lvlOverride w:ilvl="0">
      <w:lvl w:ilvl="0">
        <w:numFmt w:val="lowerRoman"/>
        <w:lvlText w:val="%1."/>
        <w:lvlJc w:val="right"/>
      </w:lvl>
    </w:lvlOverride>
  </w:num>
  <w:num w:numId="18" w16cid:durableId="660040616">
    <w:abstractNumId w:val="32"/>
  </w:num>
  <w:num w:numId="19" w16cid:durableId="6102727">
    <w:abstractNumId w:val="16"/>
  </w:num>
  <w:num w:numId="20" w16cid:durableId="1493520641">
    <w:abstractNumId w:val="25"/>
  </w:num>
  <w:num w:numId="21" w16cid:durableId="394161690">
    <w:abstractNumId w:val="13"/>
  </w:num>
  <w:num w:numId="22" w16cid:durableId="117797974">
    <w:abstractNumId w:val="21"/>
  </w:num>
  <w:num w:numId="23" w16cid:durableId="639926122">
    <w:abstractNumId w:val="4"/>
  </w:num>
  <w:num w:numId="24" w16cid:durableId="135998681">
    <w:abstractNumId w:val="50"/>
  </w:num>
  <w:num w:numId="25" w16cid:durableId="688526435">
    <w:abstractNumId w:val="22"/>
  </w:num>
  <w:num w:numId="26" w16cid:durableId="362293807">
    <w:abstractNumId w:val="15"/>
  </w:num>
  <w:num w:numId="27" w16cid:durableId="958680568">
    <w:abstractNumId w:val="33"/>
  </w:num>
  <w:num w:numId="28" w16cid:durableId="904878562">
    <w:abstractNumId w:val="47"/>
  </w:num>
  <w:num w:numId="29" w16cid:durableId="852308163">
    <w:abstractNumId w:val="36"/>
  </w:num>
  <w:num w:numId="30" w16cid:durableId="1558203664">
    <w:abstractNumId w:val="7"/>
  </w:num>
  <w:num w:numId="31" w16cid:durableId="1357654313">
    <w:abstractNumId w:val="24"/>
  </w:num>
  <w:num w:numId="32" w16cid:durableId="796682089">
    <w:abstractNumId w:val="58"/>
  </w:num>
  <w:num w:numId="33" w16cid:durableId="683823723">
    <w:abstractNumId w:val="9"/>
  </w:num>
  <w:num w:numId="34" w16cid:durableId="1331644596">
    <w:abstractNumId w:val="51"/>
  </w:num>
  <w:num w:numId="35" w16cid:durableId="734859854">
    <w:abstractNumId w:val="41"/>
  </w:num>
  <w:num w:numId="36" w16cid:durableId="1007753894">
    <w:abstractNumId w:val="45"/>
  </w:num>
  <w:num w:numId="37" w16cid:durableId="1616332326">
    <w:abstractNumId w:val="55"/>
  </w:num>
  <w:num w:numId="38" w16cid:durableId="1219364039">
    <w:abstractNumId w:val="46"/>
  </w:num>
  <w:num w:numId="39" w16cid:durableId="1146123947">
    <w:abstractNumId w:val="31"/>
  </w:num>
  <w:num w:numId="40" w16cid:durableId="1034310070">
    <w:abstractNumId w:val="5"/>
  </w:num>
  <w:num w:numId="41" w16cid:durableId="1346057356">
    <w:abstractNumId w:val="8"/>
  </w:num>
  <w:num w:numId="42" w16cid:durableId="564488692">
    <w:abstractNumId w:val="10"/>
  </w:num>
  <w:num w:numId="43" w16cid:durableId="2112242200">
    <w:abstractNumId w:val="60"/>
  </w:num>
  <w:num w:numId="44" w16cid:durableId="799038119">
    <w:abstractNumId w:val="56"/>
  </w:num>
  <w:num w:numId="45" w16cid:durableId="1818255105">
    <w:abstractNumId w:val="44"/>
  </w:num>
  <w:num w:numId="46" w16cid:durableId="512110092">
    <w:abstractNumId w:val="20"/>
  </w:num>
  <w:num w:numId="47" w16cid:durableId="720789790">
    <w:abstractNumId w:val="57"/>
  </w:num>
  <w:num w:numId="48" w16cid:durableId="1305426124">
    <w:abstractNumId w:val="11"/>
  </w:num>
  <w:num w:numId="49" w16cid:durableId="751048207">
    <w:abstractNumId w:val="18"/>
  </w:num>
  <w:num w:numId="50" w16cid:durableId="227305721">
    <w:abstractNumId w:val="48"/>
  </w:num>
  <w:num w:numId="51" w16cid:durableId="861165860">
    <w:abstractNumId w:val="40"/>
  </w:num>
  <w:num w:numId="52" w16cid:durableId="535626006">
    <w:abstractNumId w:val="53"/>
  </w:num>
  <w:num w:numId="53" w16cid:durableId="731079423">
    <w:abstractNumId w:val="29"/>
  </w:num>
  <w:num w:numId="54" w16cid:durableId="984434126">
    <w:abstractNumId w:val="26"/>
  </w:num>
  <w:num w:numId="55" w16cid:durableId="63527782">
    <w:abstractNumId w:val="14"/>
  </w:num>
  <w:num w:numId="56" w16cid:durableId="1455179136">
    <w:abstractNumId w:val="2"/>
  </w:num>
  <w:num w:numId="57" w16cid:durableId="474345">
    <w:abstractNumId w:val="49"/>
  </w:num>
  <w:num w:numId="58" w16cid:durableId="1526944901">
    <w:abstractNumId w:val="27"/>
  </w:num>
  <w:num w:numId="59" w16cid:durableId="489828019">
    <w:abstractNumId w:val="35"/>
  </w:num>
  <w:num w:numId="60" w16cid:durableId="799765859">
    <w:abstractNumId w:val="19"/>
  </w:num>
  <w:num w:numId="61" w16cid:durableId="1154948242">
    <w:abstractNumId w:val="23"/>
  </w:num>
  <w:num w:numId="62" w16cid:durableId="747772854">
    <w:abstractNumId w:val="30"/>
  </w:num>
  <w:num w:numId="63" w16cid:durableId="1713143087">
    <w:abstractNumId w:val="37"/>
  </w:num>
  <w:num w:numId="64" w16cid:durableId="102566913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B42"/>
    <w:rsid w:val="00004159"/>
    <w:rsid w:val="00010FAB"/>
    <w:rsid w:val="00011180"/>
    <w:rsid w:val="00011D2F"/>
    <w:rsid w:val="0001551D"/>
    <w:rsid w:val="000243D9"/>
    <w:rsid w:val="00024F62"/>
    <w:rsid w:val="000261AF"/>
    <w:rsid w:val="00034A74"/>
    <w:rsid w:val="00035967"/>
    <w:rsid w:val="00036C05"/>
    <w:rsid w:val="000450EC"/>
    <w:rsid w:val="00045589"/>
    <w:rsid w:val="00055654"/>
    <w:rsid w:val="000608FB"/>
    <w:rsid w:val="00063753"/>
    <w:rsid w:val="00063802"/>
    <w:rsid w:val="00067855"/>
    <w:rsid w:val="00092ADC"/>
    <w:rsid w:val="00092D28"/>
    <w:rsid w:val="000A3800"/>
    <w:rsid w:val="000A40AA"/>
    <w:rsid w:val="000A6ABC"/>
    <w:rsid w:val="000B2FAD"/>
    <w:rsid w:val="000B60E8"/>
    <w:rsid w:val="000B7C38"/>
    <w:rsid w:val="000C309D"/>
    <w:rsid w:val="000C478D"/>
    <w:rsid w:val="000E2273"/>
    <w:rsid w:val="000E568E"/>
    <w:rsid w:val="000E7DAA"/>
    <w:rsid w:val="000F435A"/>
    <w:rsid w:val="00101D42"/>
    <w:rsid w:val="00102F58"/>
    <w:rsid w:val="0010476F"/>
    <w:rsid w:val="0011342C"/>
    <w:rsid w:val="001148B5"/>
    <w:rsid w:val="001170F1"/>
    <w:rsid w:val="00121F9C"/>
    <w:rsid w:val="00126DBE"/>
    <w:rsid w:val="001338BA"/>
    <w:rsid w:val="00137DD6"/>
    <w:rsid w:val="00142600"/>
    <w:rsid w:val="00157817"/>
    <w:rsid w:val="00157D4C"/>
    <w:rsid w:val="00166B91"/>
    <w:rsid w:val="00172535"/>
    <w:rsid w:val="00176578"/>
    <w:rsid w:val="00183CF7"/>
    <w:rsid w:val="001840A3"/>
    <w:rsid w:val="00186101"/>
    <w:rsid w:val="001919D6"/>
    <w:rsid w:val="00192502"/>
    <w:rsid w:val="0019610D"/>
    <w:rsid w:val="001A2DCE"/>
    <w:rsid w:val="001A7174"/>
    <w:rsid w:val="001B2B56"/>
    <w:rsid w:val="001B2B5D"/>
    <w:rsid w:val="001B7999"/>
    <w:rsid w:val="001B7EA8"/>
    <w:rsid w:val="001C1876"/>
    <w:rsid w:val="001E36BD"/>
    <w:rsid w:val="001F05C7"/>
    <w:rsid w:val="001F14B9"/>
    <w:rsid w:val="00203C20"/>
    <w:rsid w:val="00210952"/>
    <w:rsid w:val="0021140B"/>
    <w:rsid w:val="00220657"/>
    <w:rsid w:val="00225D41"/>
    <w:rsid w:val="002533D5"/>
    <w:rsid w:val="002734F3"/>
    <w:rsid w:val="0028154B"/>
    <w:rsid w:val="002914A1"/>
    <w:rsid w:val="0029757E"/>
    <w:rsid w:val="002A32F6"/>
    <w:rsid w:val="002B7807"/>
    <w:rsid w:val="002B785F"/>
    <w:rsid w:val="002C2224"/>
    <w:rsid w:val="002C559D"/>
    <w:rsid w:val="002D0FA3"/>
    <w:rsid w:val="002D1B99"/>
    <w:rsid w:val="002D3DBC"/>
    <w:rsid w:val="00302E27"/>
    <w:rsid w:val="00307371"/>
    <w:rsid w:val="0031285F"/>
    <w:rsid w:val="00315BDB"/>
    <w:rsid w:val="00323616"/>
    <w:rsid w:val="00334B86"/>
    <w:rsid w:val="003427DB"/>
    <w:rsid w:val="00342D93"/>
    <w:rsid w:val="00362702"/>
    <w:rsid w:val="003648D8"/>
    <w:rsid w:val="00382F0D"/>
    <w:rsid w:val="0038469A"/>
    <w:rsid w:val="0038619E"/>
    <w:rsid w:val="0038748F"/>
    <w:rsid w:val="003A31D5"/>
    <w:rsid w:val="003C28EF"/>
    <w:rsid w:val="003C2DC8"/>
    <w:rsid w:val="003D6978"/>
    <w:rsid w:val="003E143E"/>
    <w:rsid w:val="003E171D"/>
    <w:rsid w:val="003E435C"/>
    <w:rsid w:val="003F1315"/>
    <w:rsid w:val="003F1DD6"/>
    <w:rsid w:val="00400A92"/>
    <w:rsid w:val="0040481C"/>
    <w:rsid w:val="00407D06"/>
    <w:rsid w:val="00407E79"/>
    <w:rsid w:val="00410EAB"/>
    <w:rsid w:val="004122E6"/>
    <w:rsid w:val="0041769C"/>
    <w:rsid w:val="00417EA6"/>
    <w:rsid w:val="0042063D"/>
    <w:rsid w:val="00426E64"/>
    <w:rsid w:val="00431670"/>
    <w:rsid w:val="004413F7"/>
    <w:rsid w:val="004438A0"/>
    <w:rsid w:val="00454BBF"/>
    <w:rsid w:val="00466CEE"/>
    <w:rsid w:val="00473731"/>
    <w:rsid w:val="00480E9A"/>
    <w:rsid w:val="00484D16"/>
    <w:rsid w:val="00495A68"/>
    <w:rsid w:val="00496C17"/>
    <w:rsid w:val="004A3C2B"/>
    <w:rsid w:val="004A4802"/>
    <w:rsid w:val="004A5BEB"/>
    <w:rsid w:val="004B0F4E"/>
    <w:rsid w:val="004C70E3"/>
    <w:rsid w:val="004D1DEE"/>
    <w:rsid w:val="004D2209"/>
    <w:rsid w:val="004D4E1B"/>
    <w:rsid w:val="004E7378"/>
    <w:rsid w:val="004E74DA"/>
    <w:rsid w:val="00501590"/>
    <w:rsid w:val="00522398"/>
    <w:rsid w:val="00523D35"/>
    <w:rsid w:val="00527DFC"/>
    <w:rsid w:val="00533C38"/>
    <w:rsid w:val="00541E16"/>
    <w:rsid w:val="00542AC9"/>
    <w:rsid w:val="00544182"/>
    <w:rsid w:val="00545BDD"/>
    <w:rsid w:val="0054663B"/>
    <w:rsid w:val="00557C4E"/>
    <w:rsid w:val="005610CE"/>
    <w:rsid w:val="005651FF"/>
    <w:rsid w:val="00572545"/>
    <w:rsid w:val="005747A7"/>
    <w:rsid w:val="0058619B"/>
    <w:rsid w:val="00590C3B"/>
    <w:rsid w:val="00595F6A"/>
    <w:rsid w:val="005A2560"/>
    <w:rsid w:val="005A25D0"/>
    <w:rsid w:val="005A66BB"/>
    <w:rsid w:val="005A6CCC"/>
    <w:rsid w:val="005B74D2"/>
    <w:rsid w:val="005E09D5"/>
    <w:rsid w:val="005E0DFB"/>
    <w:rsid w:val="005E128B"/>
    <w:rsid w:val="005E2F8B"/>
    <w:rsid w:val="005E6D3E"/>
    <w:rsid w:val="005F2548"/>
    <w:rsid w:val="005F59F2"/>
    <w:rsid w:val="005F7B80"/>
    <w:rsid w:val="006138EE"/>
    <w:rsid w:val="00614C54"/>
    <w:rsid w:val="00615365"/>
    <w:rsid w:val="00617629"/>
    <w:rsid w:val="00617649"/>
    <w:rsid w:val="00617E88"/>
    <w:rsid w:val="00630F4E"/>
    <w:rsid w:val="006335B8"/>
    <w:rsid w:val="00642D84"/>
    <w:rsid w:val="006578B8"/>
    <w:rsid w:val="00671AC9"/>
    <w:rsid w:val="00674B26"/>
    <w:rsid w:val="006765F2"/>
    <w:rsid w:val="006819D9"/>
    <w:rsid w:val="00682A59"/>
    <w:rsid w:val="006874F7"/>
    <w:rsid w:val="0069525B"/>
    <w:rsid w:val="006A34A3"/>
    <w:rsid w:val="006D3933"/>
    <w:rsid w:val="006D4C8B"/>
    <w:rsid w:val="006D5B2D"/>
    <w:rsid w:val="006E0961"/>
    <w:rsid w:val="006F764A"/>
    <w:rsid w:val="006F7B8A"/>
    <w:rsid w:val="00731DF6"/>
    <w:rsid w:val="00733D25"/>
    <w:rsid w:val="00737AD6"/>
    <w:rsid w:val="007503FE"/>
    <w:rsid w:val="007548A7"/>
    <w:rsid w:val="00763753"/>
    <w:rsid w:val="00763BD6"/>
    <w:rsid w:val="007641F6"/>
    <w:rsid w:val="00764A70"/>
    <w:rsid w:val="00771BAF"/>
    <w:rsid w:val="00785CF1"/>
    <w:rsid w:val="00792443"/>
    <w:rsid w:val="0079385F"/>
    <w:rsid w:val="007A28B8"/>
    <w:rsid w:val="007C7D68"/>
    <w:rsid w:val="007D3AEB"/>
    <w:rsid w:val="00814543"/>
    <w:rsid w:val="00827B02"/>
    <w:rsid w:val="00840613"/>
    <w:rsid w:val="008542B4"/>
    <w:rsid w:val="00855688"/>
    <w:rsid w:val="008577C6"/>
    <w:rsid w:val="00890F5E"/>
    <w:rsid w:val="008912B2"/>
    <w:rsid w:val="008B062E"/>
    <w:rsid w:val="008B4028"/>
    <w:rsid w:val="008C4DA8"/>
    <w:rsid w:val="008D2DBD"/>
    <w:rsid w:val="008F404E"/>
    <w:rsid w:val="00933004"/>
    <w:rsid w:val="009342F2"/>
    <w:rsid w:val="00953BF3"/>
    <w:rsid w:val="0096336F"/>
    <w:rsid w:val="00967E59"/>
    <w:rsid w:val="009876B2"/>
    <w:rsid w:val="00992A6E"/>
    <w:rsid w:val="009A711B"/>
    <w:rsid w:val="009B0F40"/>
    <w:rsid w:val="009B10C7"/>
    <w:rsid w:val="009D1B2E"/>
    <w:rsid w:val="009E6883"/>
    <w:rsid w:val="009F15E0"/>
    <w:rsid w:val="00A009BF"/>
    <w:rsid w:val="00A029CE"/>
    <w:rsid w:val="00A15EFE"/>
    <w:rsid w:val="00A20028"/>
    <w:rsid w:val="00A22169"/>
    <w:rsid w:val="00A22DD4"/>
    <w:rsid w:val="00A339A3"/>
    <w:rsid w:val="00A405AA"/>
    <w:rsid w:val="00A51D64"/>
    <w:rsid w:val="00A54B8A"/>
    <w:rsid w:val="00A57542"/>
    <w:rsid w:val="00A62BA1"/>
    <w:rsid w:val="00A67684"/>
    <w:rsid w:val="00A805AC"/>
    <w:rsid w:val="00A8197B"/>
    <w:rsid w:val="00A82654"/>
    <w:rsid w:val="00AB79B6"/>
    <w:rsid w:val="00AD1271"/>
    <w:rsid w:val="00AD20E5"/>
    <w:rsid w:val="00AD7F63"/>
    <w:rsid w:val="00AE606F"/>
    <w:rsid w:val="00B072EB"/>
    <w:rsid w:val="00B15225"/>
    <w:rsid w:val="00B25109"/>
    <w:rsid w:val="00B33573"/>
    <w:rsid w:val="00B367C3"/>
    <w:rsid w:val="00B4763A"/>
    <w:rsid w:val="00B508E7"/>
    <w:rsid w:val="00B57564"/>
    <w:rsid w:val="00B62FFD"/>
    <w:rsid w:val="00B6504A"/>
    <w:rsid w:val="00B65F0C"/>
    <w:rsid w:val="00B7439D"/>
    <w:rsid w:val="00B82A2C"/>
    <w:rsid w:val="00B83DA2"/>
    <w:rsid w:val="00B91335"/>
    <w:rsid w:val="00B920E5"/>
    <w:rsid w:val="00B945CF"/>
    <w:rsid w:val="00B96A8C"/>
    <w:rsid w:val="00B97423"/>
    <w:rsid w:val="00BA3066"/>
    <w:rsid w:val="00BA37E1"/>
    <w:rsid w:val="00BC27DC"/>
    <w:rsid w:val="00BC2C47"/>
    <w:rsid w:val="00BC5DCA"/>
    <w:rsid w:val="00BC6331"/>
    <w:rsid w:val="00BE0C2F"/>
    <w:rsid w:val="00BF0C8F"/>
    <w:rsid w:val="00BF15DE"/>
    <w:rsid w:val="00BF2610"/>
    <w:rsid w:val="00C00CD9"/>
    <w:rsid w:val="00C206B6"/>
    <w:rsid w:val="00C35CA6"/>
    <w:rsid w:val="00C408F8"/>
    <w:rsid w:val="00C457D4"/>
    <w:rsid w:val="00C50DC5"/>
    <w:rsid w:val="00C610B7"/>
    <w:rsid w:val="00C705B5"/>
    <w:rsid w:val="00C73289"/>
    <w:rsid w:val="00C76799"/>
    <w:rsid w:val="00C84DE1"/>
    <w:rsid w:val="00C95A7C"/>
    <w:rsid w:val="00CA734A"/>
    <w:rsid w:val="00CB6FEF"/>
    <w:rsid w:val="00CC27A9"/>
    <w:rsid w:val="00CC2CF9"/>
    <w:rsid w:val="00CD27EE"/>
    <w:rsid w:val="00CE44ED"/>
    <w:rsid w:val="00CE5AA5"/>
    <w:rsid w:val="00CE65B4"/>
    <w:rsid w:val="00CF6DA2"/>
    <w:rsid w:val="00D0283D"/>
    <w:rsid w:val="00D12396"/>
    <w:rsid w:val="00D1461E"/>
    <w:rsid w:val="00D20784"/>
    <w:rsid w:val="00D2260C"/>
    <w:rsid w:val="00D25191"/>
    <w:rsid w:val="00D258B9"/>
    <w:rsid w:val="00D53E37"/>
    <w:rsid w:val="00D61DA6"/>
    <w:rsid w:val="00D81A6D"/>
    <w:rsid w:val="00D95D63"/>
    <w:rsid w:val="00DA6D03"/>
    <w:rsid w:val="00DB4B02"/>
    <w:rsid w:val="00DB576E"/>
    <w:rsid w:val="00DC024C"/>
    <w:rsid w:val="00DD5820"/>
    <w:rsid w:val="00E201CC"/>
    <w:rsid w:val="00E225D8"/>
    <w:rsid w:val="00E24008"/>
    <w:rsid w:val="00E327E1"/>
    <w:rsid w:val="00E36443"/>
    <w:rsid w:val="00E37F44"/>
    <w:rsid w:val="00E43F0C"/>
    <w:rsid w:val="00E659C8"/>
    <w:rsid w:val="00E73027"/>
    <w:rsid w:val="00E77FD8"/>
    <w:rsid w:val="00E93F02"/>
    <w:rsid w:val="00EA4F77"/>
    <w:rsid w:val="00EA59F5"/>
    <w:rsid w:val="00EC2F22"/>
    <w:rsid w:val="00EC3D46"/>
    <w:rsid w:val="00EC4136"/>
    <w:rsid w:val="00ED0822"/>
    <w:rsid w:val="00ED5A72"/>
    <w:rsid w:val="00ED6B42"/>
    <w:rsid w:val="00ED7A7D"/>
    <w:rsid w:val="00EF2D40"/>
    <w:rsid w:val="00EF2DD8"/>
    <w:rsid w:val="00EF78BE"/>
    <w:rsid w:val="00F011B1"/>
    <w:rsid w:val="00F17741"/>
    <w:rsid w:val="00F44113"/>
    <w:rsid w:val="00F441FD"/>
    <w:rsid w:val="00F45C26"/>
    <w:rsid w:val="00F5053F"/>
    <w:rsid w:val="00F51F23"/>
    <w:rsid w:val="00F53F85"/>
    <w:rsid w:val="00F5788E"/>
    <w:rsid w:val="00F612F7"/>
    <w:rsid w:val="00F61C2D"/>
    <w:rsid w:val="00F72A14"/>
    <w:rsid w:val="00F73249"/>
    <w:rsid w:val="00F8550F"/>
    <w:rsid w:val="00F930B1"/>
    <w:rsid w:val="00FA145A"/>
    <w:rsid w:val="00FB0B42"/>
    <w:rsid w:val="00FB287D"/>
    <w:rsid w:val="00FB4B18"/>
    <w:rsid w:val="00FB5F2E"/>
    <w:rsid w:val="00FC6DE7"/>
    <w:rsid w:val="00FD5B6E"/>
    <w:rsid w:val="00FD7AE5"/>
    <w:rsid w:val="00FE5C85"/>
    <w:rsid w:val="00FE7BD8"/>
    <w:rsid w:val="00FF627A"/>
    <w:rsid w:val="00FF74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1718B"/>
  <w15:docId w15:val="{94DAE0A7-030C-4CC3-B2B9-A6B989CF8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BA1"/>
    <w:pPr>
      <w:spacing w:line="256" w:lineRule="auto"/>
    </w:pPr>
    <w:rPr>
      <w:rFonts w:eastAsiaTheme="minorEastAsia"/>
      <w:lang w:eastAsia="zh-CN"/>
    </w:rPr>
  </w:style>
  <w:style w:type="paragraph" w:styleId="Heading1">
    <w:name w:val="heading 1"/>
    <w:basedOn w:val="Normal"/>
    <w:next w:val="Normal"/>
    <w:link w:val="Heading1Char"/>
    <w:uiPriority w:val="9"/>
    <w:qFormat/>
    <w:rsid w:val="003427DB"/>
    <w:pPr>
      <w:numPr>
        <w:numId w:val="19"/>
      </w:numPr>
      <w:spacing w:after="0" w:line="240" w:lineRule="auto"/>
      <w:jc w:val="both"/>
      <w:outlineLvl w:val="0"/>
    </w:pPr>
    <w:rPr>
      <w:rFonts w:eastAsia="Times New Roman" w:cstheme="minorHAnsi"/>
      <w:b/>
      <w:lang w:val="en-SG"/>
    </w:rPr>
  </w:style>
  <w:style w:type="paragraph" w:styleId="Heading2">
    <w:name w:val="heading 2"/>
    <w:basedOn w:val="Normal"/>
    <w:next w:val="Normal"/>
    <w:link w:val="Heading2Char"/>
    <w:uiPriority w:val="9"/>
    <w:unhideWhenUsed/>
    <w:qFormat/>
    <w:rsid w:val="003427DB"/>
    <w:pPr>
      <w:spacing w:after="0" w:line="240" w:lineRule="auto"/>
      <w:ind w:left="360"/>
      <w:jc w:val="both"/>
      <w:outlineLvl w:val="1"/>
    </w:pPr>
    <w:rPr>
      <w:rFonts w:eastAsia="Times New Roman" w:cstheme="minorHAnsi"/>
      <w:b/>
      <w:bCs/>
      <w:u w:val="single"/>
      <w:lang w:val="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B42"/>
    <w:rPr>
      <w:color w:val="0563C1" w:themeColor="hyperlink"/>
      <w:u w:val="single"/>
    </w:rPr>
  </w:style>
  <w:style w:type="paragraph" w:styleId="NormalWeb">
    <w:name w:val="Normal (Web)"/>
    <w:basedOn w:val="Normal"/>
    <w:uiPriority w:val="99"/>
    <w:unhideWhenUsed/>
    <w:rsid w:val="00ED6B4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D6B42"/>
    <w:pPr>
      <w:ind w:left="720"/>
      <w:contextualSpacing/>
    </w:pPr>
  </w:style>
  <w:style w:type="paragraph" w:customStyle="1" w:styleId="Disclaimer">
    <w:name w:val="Disclaimer"/>
    <w:basedOn w:val="Normal"/>
    <w:qFormat/>
    <w:rsid w:val="00B4763A"/>
    <w:pPr>
      <w:pBdr>
        <w:top w:val="single" w:sz="2" w:space="1" w:color="000001"/>
        <w:left w:val="single" w:sz="2" w:space="1" w:color="000001"/>
        <w:bottom w:val="single" w:sz="2" w:space="1" w:color="000001"/>
        <w:right w:val="single" w:sz="2" w:space="1" w:color="000001"/>
      </w:pBdr>
      <w:shd w:val="clear" w:color="auto" w:fill="DDDDDD"/>
      <w:spacing w:before="101" w:after="101" w:line="240" w:lineRule="auto"/>
      <w:jc w:val="both"/>
    </w:pPr>
    <w:rPr>
      <w:rFonts w:eastAsiaTheme="minorHAnsi"/>
      <w:color w:val="00000A"/>
      <w:sz w:val="24"/>
      <w:szCs w:val="24"/>
      <w:lang w:eastAsia="en-US"/>
    </w:rPr>
  </w:style>
  <w:style w:type="paragraph" w:customStyle="1" w:styleId="BlackStrips">
    <w:name w:val="Black Strips"/>
    <w:basedOn w:val="Normal"/>
    <w:qFormat/>
    <w:rsid w:val="00B4763A"/>
    <w:pPr>
      <w:shd w:val="clear" w:color="auto" w:fill="000000"/>
      <w:spacing w:after="200" w:line="240" w:lineRule="auto"/>
      <w:jc w:val="center"/>
    </w:pPr>
    <w:rPr>
      <w:rFonts w:eastAsiaTheme="minorHAnsi"/>
      <w:color w:val="FFFFFF"/>
      <w:sz w:val="24"/>
      <w:szCs w:val="24"/>
      <w:lang w:eastAsia="en-US"/>
    </w:rPr>
  </w:style>
  <w:style w:type="character" w:customStyle="1" w:styleId="UnresolvedMention1">
    <w:name w:val="Unresolved Mention1"/>
    <w:basedOn w:val="DefaultParagraphFont"/>
    <w:uiPriority w:val="99"/>
    <w:semiHidden/>
    <w:unhideWhenUsed/>
    <w:rsid w:val="00BA37E1"/>
    <w:rPr>
      <w:color w:val="605E5C"/>
      <w:shd w:val="clear" w:color="auto" w:fill="E1DFDD"/>
    </w:rPr>
  </w:style>
  <w:style w:type="paragraph" w:styleId="Revision">
    <w:name w:val="Revision"/>
    <w:hidden/>
    <w:uiPriority w:val="99"/>
    <w:semiHidden/>
    <w:rsid w:val="00183CF7"/>
    <w:pPr>
      <w:spacing w:after="0" w:line="240" w:lineRule="auto"/>
    </w:pPr>
    <w:rPr>
      <w:rFonts w:eastAsiaTheme="minorEastAsia"/>
      <w:lang w:eastAsia="zh-CN"/>
    </w:rPr>
  </w:style>
  <w:style w:type="paragraph" w:styleId="BalloonText">
    <w:name w:val="Balloon Text"/>
    <w:basedOn w:val="Normal"/>
    <w:link w:val="BalloonTextChar"/>
    <w:uiPriority w:val="99"/>
    <w:semiHidden/>
    <w:unhideWhenUsed/>
    <w:rsid w:val="00011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D2F"/>
    <w:rPr>
      <w:rFonts w:ascii="Tahoma" w:eastAsiaTheme="minorEastAsia" w:hAnsi="Tahoma" w:cs="Tahoma"/>
      <w:sz w:val="16"/>
      <w:szCs w:val="16"/>
      <w:lang w:eastAsia="zh-CN"/>
    </w:rPr>
  </w:style>
  <w:style w:type="character" w:customStyle="1" w:styleId="UnresolvedMention2">
    <w:name w:val="Unresolved Mention2"/>
    <w:basedOn w:val="DefaultParagraphFont"/>
    <w:uiPriority w:val="99"/>
    <w:semiHidden/>
    <w:unhideWhenUsed/>
    <w:rsid w:val="008577C6"/>
    <w:rPr>
      <w:color w:val="605E5C"/>
      <w:shd w:val="clear" w:color="auto" w:fill="E1DFDD"/>
    </w:rPr>
  </w:style>
  <w:style w:type="character" w:customStyle="1" w:styleId="UnresolvedMention3">
    <w:name w:val="Unresolved Mention3"/>
    <w:basedOn w:val="DefaultParagraphFont"/>
    <w:uiPriority w:val="99"/>
    <w:semiHidden/>
    <w:unhideWhenUsed/>
    <w:rsid w:val="00ED0822"/>
    <w:rPr>
      <w:color w:val="605E5C"/>
      <w:shd w:val="clear" w:color="auto" w:fill="E1DFDD"/>
    </w:rPr>
  </w:style>
  <w:style w:type="character" w:styleId="CommentReference">
    <w:name w:val="annotation reference"/>
    <w:basedOn w:val="DefaultParagraphFont"/>
    <w:uiPriority w:val="99"/>
    <w:semiHidden/>
    <w:unhideWhenUsed/>
    <w:rsid w:val="004B0F4E"/>
    <w:rPr>
      <w:sz w:val="16"/>
      <w:szCs w:val="16"/>
    </w:rPr>
  </w:style>
  <w:style w:type="paragraph" w:styleId="CommentText">
    <w:name w:val="annotation text"/>
    <w:basedOn w:val="Normal"/>
    <w:link w:val="CommentTextChar"/>
    <w:uiPriority w:val="99"/>
    <w:semiHidden/>
    <w:unhideWhenUsed/>
    <w:rsid w:val="004B0F4E"/>
    <w:pPr>
      <w:spacing w:line="240" w:lineRule="auto"/>
    </w:pPr>
    <w:rPr>
      <w:sz w:val="20"/>
      <w:szCs w:val="20"/>
    </w:rPr>
  </w:style>
  <w:style w:type="character" w:customStyle="1" w:styleId="CommentTextChar">
    <w:name w:val="Comment Text Char"/>
    <w:basedOn w:val="DefaultParagraphFont"/>
    <w:link w:val="CommentText"/>
    <w:uiPriority w:val="99"/>
    <w:semiHidden/>
    <w:rsid w:val="004B0F4E"/>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4B0F4E"/>
    <w:rPr>
      <w:b/>
      <w:bCs/>
    </w:rPr>
  </w:style>
  <w:style w:type="character" w:customStyle="1" w:styleId="CommentSubjectChar">
    <w:name w:val="Comment Subject Char"/>
    <w:basedOn w:val="CommentTextChar"/>
    <w:link w:val="CommentSubject"/>
    <w:uiPriority w:val="99"/>
    <w:semiHidden/>
    <w:rsid w:val="004B0F4E"/>
    <w:rPr>
      <w:rFonts w:eastAsiaTheme="minorEastAsia"/>
      <w:b/>
      <w:bCs/>
      <w:sz w:val="20"/>
      <w:szCs w:val="20"/>
      <w:lang w:eastAsia="zh-CN"/>
    </w:rPr>
  </w:style>
  <w:style w:type="character" w:styleId="UnresolvedMention">
    <w:name w:val="Unresolved Mention"/>
    <w:basedOn w:val="DefaultParagraphFont"/>
    <w:uiPriority w:val="99"/>
    <w:semiHidden/>
    <w:unhideWhenUsed/>
    <w:rsid w:val="00FB4B18"/>
    <w:rPr>
      <w:color w:val="605E5C"/>
      <w:shd w:val="clear" w:color="auto" w:fill="E1DFDD"/>
    </w:rPr>
  </w:style>
  <w:style w:type="paragraph" w:styleId="Header">
    <w:name w:val="header"/>
    <w:basedOn w:val="Normal"/>
    <w:link w:val="HeaderChar"/>
    <w:uiPriority w:val="99"/>
    <w:unhideWhenUsed/>
    <w:rsid w:val="005A6C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CCC"/>
    <w:rPr>
      <w:rFonts w:eastAsiaTheme="minorEastAsia"/>
      <w:lang w:eastAsia="zh-CN"/>
    </w:rPr>
  </w:style>
  <w:style w:type="paragraph" w:styleId="Footer">
    <w:name w:val="footer"/>
    <w:basedOn w:val="Normal"/>
    <w:link w:val="FooterChar"/>
    <w:uiPriority w:val="99"/>
    <w:unhideWhenUsed/>
    <w:rsid w:val="005A6C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CCC"/>
    <w:rPr>
      <w:rFonts w:eastAsiaTheme="minorEastAsia"/>
      <w:lang w:eastAsia="zh-CN"/>
    </w:rPr>
  </w:style>
  <w:style w:type="character" w:customStyle="1" w:styleId="Heading2Char">
    <w:name w:val="Heading 2 Char"/>
    <w:basedOn w:val="DefaultParagraphFont"/>
    <w:link w:val="Heading2"/>
    <w:uiPriority w:val="9"/>
    <w:rsid w:val="003427DB"/>
    <w:rPr>
      <w:rFonts w:eastAsia="Times New Roman" w:cstheme="minorHAnsi"/>
      <w:b/>
      <w:bCs/>
      <w:u w:val="single"/>
      <w:lang w:val="en-PH" w:eastAsia="zh-CN"/>
    </w:rPr>
  </w:style>
  <w:style w:type="paragraph" w:styleId="TOC2">
    <w:name w:val="toc 2"/>
    <w:basedOn w:val="Normal"/>
    <w:next w:val="Normal"/>
    <w:autoRedefine/>
    <w:uiPriority w:val="39"/>
    <w:unhideWhenUsed/>
    <w:rsid w:val="003427DB"/>
    <w:pPr>
      <w:tabs>
        <w:tab w:val="right" w:leader="dot" w:pos="9350"/>
      </w:tabs>
      <w:spacing w:after="100" w:line="259" w:lineRule="auto"/>
    </w:pPr>
    <w:rPr>
      <w:rFonts w:cs="Times New Roman"/>
      <w:sz w:val="20"/>
      <w:lang w:eastAsia="en-US"/>
    </w:rPr>
  </w:style>
  <w:style w:type="paragraph" w:styleId="TOC1">
    <w:name w:val="toc 1"/>
    <w:basedOn w:val="Normal"/>
    <w:next w:val="Normal"/>
    <w:autoRedefine/>
    <w:uiPriority w:val="39"/>
    <w:unhideWhenUsed/>
    <w:rsid w:val="003427DB"/>
    <w:pPr>
      <w:spacing w:after="100" w:line="259" w:lineRule="auto"/>
    </w:pPr>
    <w:rPr>
      <w:rFonts w:cs="Times New Roman"/>
      <w:b/>
      <w:sz w:val="20"/>
      <w:lang w:eastAsia="en-US"/>
    </w:rPr>
  </w:style>
  <w:style w:type="character" w:customStyle="1" w:styleId="Heading1Char">
    <w:name w:val="Heading 1 Char"/>
    <w:basedOn w:val="DefaultParagraphFont"/>
    <w:link w:val="Heading1"/>
    <w:uiPriority w:val="9"/>
    <w:rsid w:val="003427DB"/>
    <w:rPr>
      <w:rFonts w:eastAsia="Times New Roman" w:cstheme="minorHAnsi"/>
      <w:b/>
      <w:lang w:val="en-S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52674">
      <w:bodyDiv w:val="1"/>
      <w:marLeft w:val="0"/>
      <w:marRight w:val="0"/>
      <w:marTop w:val="0"/>
      <w:marBottom w:val="0"/>
      <w:divBdr>
        <w:top w:val="none" w:sz="0" w:space="0" w:color="auto"/>
        <w:left w:val="none" w:sz="0" w:space="0" w:color="auto"/>
        <w:bottom w:val="none" w:sz="0" w:space="0" w:color="auto"/>
        <w:right w:val="none" w:sz="0" w:space="0" w:color="auto"/>
      </w:divBdr>
    </w:div>
    <w:div w:id="26681975">
      <w:bodyDiv w:val="1"/>
      <w:marLeft w:val="0"/>
      <w:marRight w:val="0"/>
      <w:marTop w:val="0"/>
      <w:marBottom w:val="0"/>
      <w:divBdr>
        <w:top w:val="none" w:sz="0" w:space="0" w:color="auto"/>
        <w:left w:val="none" w:sz="0" w:space="0" w:color="auto"/>
        <w:bottom w:val="none" w:sz="0" w:space="0" w:color="auto"/>
        <w:right w:val="none" w:sz="0" w:space="0" w:color="auto"/>
      </w:divBdr>
    </w:div>
    <w:div w:id="29115322">
      <w:bodyDiv w:val="1"/>
      <w:marLeft w:val="0"/>
      <w:marRight w:val="0"/>
      <w:marTop w:val="0"/>
      <w:marBottom w:val="0"/>
      <w:divBdr>
        <w:top w:val="none" w:sz="0" w:space="0" w:color="auto"/>
        <w:left w:val="none" w:sz="0" w:space="0" w:color="auto"/>
        <w:bottom w:val="none" w:sz="0" w:space="0" w:color="auto"/>
        <w:right w:val="none" w:sz="0" w:space="0" w:color="auto"/>
      </w:divBdr>
    </w:div>
    <w:div w:id="35157158">
      <w:bodyDiv w:val="1"/>
      <w:marLeft w:val="0"/>
      <w:marRight w:val="0"/>
      <w:marTop w:val="0"/>
      <w:marBottom w:val="0"/>
      <w:divBdr>
        <w:top w:val="none" w:sz="0" w:space="0" w:color="auto"/>
        <w:left w:val="none" w:sz="0" w:space="0" w:color="auto"/>
        <w:bottom w:val="none" w:sz="0" w:space="0" w:color="auto"/>
        <w:right w:val="none" w:sz="0" w:space="0" w:color="auto"/>
      </w:divBdr>
    </w:div>
    <w:div w:id="77873908">
      <w:bodyDiv w:val="1"/>
      <w:marLeft w:val="0"/>
      <w:marRight w:val="0"/>
      <w:marTop w:val="0"/>
      <w:marBottom w:val="0"/>
      <w:divBdr>
        <w:top w:val="none" w:sz="0" w:space="0" w:color="auto"/>
        <w:left w:val="none" w:sz="0" w:space="0" w:color="auto"/>
        <w:bottom w:val="none" w:sz="0" w:space="0" w:color="auto"/>
        <w:right w:val="none" w:sz="0" w:space="0" w:color="auto"/>
      </w:divBdr>
    </w:div>
    <w:div w:id="90443644">
      <w:bodyDiv w:val="1"/>
      <w:marLeft w:val="0"/>
      <w:marRight w:val="0"/>
      <w:marTop w:val="0"/>
      <w:marBottom w:val="0"/>
      <w:divBdr>
        <w:top w:val="none" w:sz="0" w:space="0" w:color="auto"/>
        <w:left w:val="none" w:sz="0" w:space="0" w:color="auto"/>
        <w:bottom w:val="none" w:sz="0" w:space="0" w:color="auto"/>
        <w:right w:val="none" w:sz="0" w:space="0" w:color="auto"/>
      </w:divBdr>
    </w:div>
    <w:div w:id="110826367">
      <w:bodyDiv w:val="1"/>
      <w:marLeft w:val="0"/>
      <w:marRight w:val="0"/>
      <w:marTop w:val="0"/>
      <w:marBottom w:val="0"/>
      <w:divBdr>
        <w:top w:val="none" w:sz="0" w:space="0" w:color="auto"/>
        <w:left w:val="none" w:sz="0" w:space="0" w:color="auto"/>
        <w:bottom w:val="none" w:sz="0" w:space="0" w:color="auto"/>
        <w:right w:val="none" w:sz="0" w:space="0" w:color="auto"/>
      </w:divBdr>
    </w:div>
    <w:div w:id="137455415">
      <w:bodyDiv w:val="1"/>
      <w:marLeft w:val="0"/>
      <w:marRight w:val="0"/>
      <w:marTop w:val="0"/>
      <w:marBottom w:val="0"/>
      <w:divBdr>
        <w:top w:val="none" w:sz="0" w:space="0" w:color="auto"/>
        <w:left w:val="none" w:sz="0" w:space="0" w:color="auto"/>
        <w:bottom w:val="none" w:sz="0" w:space="0" w:color="auto"/>
        <w:right w:val="none" w:sz="0" w:space="0" w:color="auto"/>
      </w:divBdr>
    </w:div>
    <w:div w:id="139539858">
      <w:bodyDiv w:val="1"/>
      <w:marLeft w:val="0"/>
      <w:marRight w:val="0"/>
      <w:marTop w:val="0"/>
      <w:marBottom w:val="0"/>
      <w:divBdr>
        <w:top w:val="none" w:sz="0" w:space="0" w:color="auto"/>
        <w:left w:val="none" w:sz="0" w:space="0" w:color="auto"/>
        <w:bottom w:val="none" w:sz="0" w:space="0" w:color="auto"/>
        <w:right w:val="none" w:sz="0" w:space="0" w:color="auto"/>
      </w:divBdr>
    </w:div>
    <w:div w:id="170877163">
      <w:bodyDiv w:val="1"/>
      <w:marLeft w:val="0"/>
      <w:marRight w:val="0"/>
      <w:marTop w:val="0"/>
      <w:marBottom w:val="0"/>
      <w:divBdr>
        <w:top w:val="none" w:sz="0" w:space="0" w:color="auto"/>
        <w:left w:val="none" w:sz="0" w:space="0" w:color="auto"/>
        <w:bottom w:val="none" w:sz="0" w:space="0" w:color="auto"/>
        <w:right w:val="none" w:sz="0" w:space="0" w:color="auto"/>
      </w:divBdr>
    </w:div>
    <w:div w:id="174151883">
      <w:bodyDiv w:val="1"/>
      <w:marLeft w:val="0"/>
      <w:marRight w:val="0"/>
      <w:marTop w:val="0"/>
      <w:marBottom w:val="0"/>
      <w:divBdr>
        <w:top w:val="none" w:sz="0" w:space="0" w:color="auto"/>
        <w:left w:val="none" w:sz="0" w:space="0" w:color="auto"/>
        <w:bottom w:val="none" w:sz="0" w:space="0" w:color="auto"/>
        <w:right w:val="none" w:sz="0" w:space="0" w:color="auto"/>
      </w:divBdr>
    </w:div>
    <w:div w:id="180241030">
      <w:bodyDiv w:val="1"/>
      <w:marLeft w:val="0"/>
      <w:marRight w:val="0"/>
      <w:marTop w:val="0"/>
      <w:marBottom w:val="0"/>
      <w:divBdr>
        <w:top w:val="none" w:sz="0" w:space="0" w:color="auto"/>
        <w:left w:val="none" w:sz="0" w:space="0" w:color="auto"/>
        <w:bottom w:val="none" w:sz="0" w:space="0" w:color="auto"/>
        <w:right w:val="none" w:sz="0" w:space="0" w:color="auto"/>
      </w:divBdr>
    </w:div>
    <w:div w:id="185363149">
      <w:bodyDiv w:val="1"/>
      <w:marLeft w:val="0"/>
      <w:marRight w:val="0"/>
      <w:marTop w:val="0"/>
      <w:marBottom w:val="0"/>
      <w:divBdr>
        <w:top w:val="none" w:sz="0" w:space="0" w:color="auto"/>
        <w:left w:val="none" w:sz="0" w:space="0" w:color="auto"/>
        <w:bottom w:val="none" w:sz="0" w:space="0" w:color="auto"/>
        <w:right w:val="none" w:sz="0" w:space="0" w:color="auto"/>
      </w:divBdr>
    </w:div>
    <w:div w:id="200823094">
      <w:bodyDiv w:val="1"/>
      <w:marLeft w:val="0"/>
      <w:marRight w:val="0"/>
      <w:marTop w:val="0"/>
      <w:marBottom w:val="0"/>
      <w:divBdr>
        <w:top w:val="none" w:sz="0" w:space="0" w:color="auto"/>
        <w:left w:val="none" w:sz="0" w:space="0" w:color="auto"/>
        <w:bottom w:val="none" w:sz="0" w:space="0" w:color="auto"/>
        <w:right w:val="none" w:sz="0" w:space="0" w:color="auto"/>
      </w:divBdr>
    </w:div>
    <w:div w:id="205337871">
      <w:bodyDiv w:val="1"/>
      <w:marLeft w:val="0"/>
      <w:marRight w:val="0"/>
      <w:marTop w:val="0"/>
      <w:marBottom w:val="0"/>
      <w:divBdr>
        <w:top w:val="none" w:sz="0" w:space="0" w:color="auto"/>
        <w:left w:val="none" w:sz="0" w:space="0" w:color="auto"/>
        <w:bottom w:val="none" w:sz="0" w:space="0" w:color="auto"/>
        <w:right w:val="none" w:sz="0" w:space="0" w:color="auto"/>
      </w:divBdr>
    </w:div>
    <w:div w:id="223564017">
      <w:bodyDiv w:val="1"/>
      <w:marLeft w:val="0"/>
      <w:marRight w:val="0"/>
      <w:marTop w:val="0"/>
      <w:marBottom w:val="0"/>
      <w:divBdr>
        <w:top w:val="none" w:sz="0" w:space="0" w:color="auto"/>
        <w:left w:val="none" w:sz="0" w:space="0" w:color="auto"/>
        <w:bottom w:val="none" w:sz="0" w:space="0" w:color="auto"/>
        <w:right w:val="none" w:sz="0" w:space="0" w:color="auto"/>
      </w:divBdr>
    </w:div>
    <w:div w:id="229537510">
      <w:bodyDiv w:val="1"/>
      <w:marLeft w:val="0"/>
      <w:marRight w:val="0"/>
      <w:marTop w:val="0"/>
      <w:marBottom w:val="0"/>
      <w:divBdr>
        <w:top w:val="none" w:sz="0" w:space="0" w:color="auto"/>
        <w:left w:val="none" w:sz="0" w:space="0" w:color="auto"/>
        <w:bottom w:val="none" w:sz="0" w:space="0" w:color="auto"/>
        <w:right w:val="none" w:sz="0" w:space="0" w:color="auto"/>
      </w:divBdr>
    </w:div>
    <w:div w:id="230779088">
      <w:bodyDiv w:val="1"/>
      <w:marLeft w:val="0"/>
      <w:marRight w:val="0"/>
      <w:marTop w:val="0"/>
      <w:marBottom w:val="0"/>
      <w:divBdr>
        <w:top w:val="none" w:sz="0" w:space="0" w:color="auto"/>
        <w:left w:val="none" w:sz="0" w:space="0" w:color="auto"/>
        <w:bottom w:val="none" w:sz="0" w:space="0" w:color="auto"/>
        <w:right w:val="none" w:sz="0" w:space="0" w:color="auto"/>
      </w:divBdr>
    </w:div>
    <w:div w:id="262879024">
      <w:bodyDiv w:val="1"/>
      <w:marLeft w:val="0"/>
      <w:marRight w:val="0"/>
      <w:marTop w:val="0"/>
      <w:marBottom w:val="0"/>
      <w:divBdr>
        <w:top w:val="none" w:sz="0" w:space="0" w:color="auto"/>
        <w:left w:val="none" w:sz="0" w:space="0" w:color="auto"/>
        <w:bottom w:val="none" w:sz="0" w:space="0" w:color="auto"/>
        <w:right w:val="none" w:sz="0" w:space="0" w:color="auto"/>
      </w:divBdr>
    </w:div>
    <w:div w:id="270431638">
      <w:bodyDiv w:val="1"/>
      <w:marLeft w:val="0"/>
      <w:marRight w:val="0"/>
      <w:marTop w:val="0"/>
      <w:marBottom w:val="0"/>
      <w:divBdr>
        <w:top w:val="none" w:sz="0" w:space="0" w:color="auto"/>
        <w:left w:val="none" w:sz="0" w:space="0" w:color="auto"/>
        <w:bottom w:val="none" w:sz="0" w:space="0" w:color="auto"/>
        <w:right w:val="none" w:sz="0" w:space="0" w:color="auto"/>
      </w:divBdr>
    </w:div>
    <w:div w:id="304356575">
      <w:bodyDiv w:val="1"/>
      <w:marLeft w:val="0"/>
      <w:marRight w:val="0"/>
      <w:marTop w:val="0"/>
      <w:marBottom w:val="0"/>
      <w:divBdr>
        <w:top w:val="none" w:sz="0" w:space="0" w:color="auto"/>
        <w:left w:val="none" w:sz="0" w:space="0" w:color="auto"/>
        <w:bottom w:val="none" w:sz="0" w:space="0" w:color="auto"/>
        <w:right w:val="none" w:sz="0" w:space="0" w:color="auto"/>
      </w:divBdr>
    </w:div>
    <w:div w:id="337119372">
      <w:bodyDiv w:val="1"/>
      <w:marLeft w:val="0"/>
      <w:marRight w:val="0"/>
      <w:marTop w:val="0"/>
      <w:marBottom w:val="0"/>
      <w:divBdr>
        <w:top w:val="none" w:sz="0" w:space="0" w:color="auto"/>
        <w:left w:val="none" w:sz="0" w:space="0" w:color="auto"/>
        <w:bottom w:val="none" w:sz="0" w:space="0" w:color="auto"/>
        <w:right w:val="none" w:sz="0" w:space="0" w:color="auto"/>
      </w:divBdr>
    </w:div>
    <w:div w:id="353188849">
      <w:bodyDiv w:val="1"/>
      <w:marLeft w:val="0"/>
      <w:marRight w:val="0"/>
      <w:marTop w:val="0"/>
      <w:marBottom w:val="0"/>
      <w:divBdr>
        <w:top w:val="none" w:sz="0" w:space="0" w:color="auto"/>
        <w:left w:val="none" w:sz="0" w:space="0" w:color="auto"/>
        <w:bottom w:val="none" w:sz="0" w:space="0" w:color="auto"/>
        <w:right w:val="none" w:sz="0" w:space="0" w:color="auto"/>
      </w:divBdr>
    </w:div>
    <w:div w:id="383719157">
      <w:bodyDiv w:val="1"/>
      <w:marLeft w:val="0"/>
      <w:marRight w:val="0"/>
      <w:marTop w:val="0"/>
      <w:marBottom w:val="0"/>
      <w:divBdr>
        <w:top w:val="none" w:sz="0" w:space="0" w:color="auto"/>
        <w:left w:val="none" w:sz="0" w:space="0" w:color="auto"/>
        <w:bottom w:val="none" w:sz="0" w:space="0" w:color="auto"/>
        <w:right w:val="none" w:sz="0" w:space="0" w:color="auto"/>
      </w:divBdr>
    </w:div>
    <w:div w:id="384066544">
      <w:bodyDiv w:val="1"/>
      <w:marLeft w:val="0"/>
      <w:marRight w:val="0"/>
      <w:marTop w:val="0"/>
      <w:marBottom w:val="0"/>
      <w:divBdr>
        <w:top w:val="none" w:sz="0" w:space="0" w:color="auto"/>
        <w:left w:val="none" w:sz="0" w:space="0" w:color="auto"/>
        <w:bottom w:val="none" w:sz="0" w:space="0" w:color="auto"/>
        <w:right w:val="none" w:sz="0" w:space="0" w:color="auto"/>
      </w:divBdr>
    </w:div>
    <w:div w:id="411509897">
      <w:bodyDiv w:val="1"/>
      <w:marLeft w:val="0"/>
      <w:marRight w:val="0"/>
      <w:marTop w:val="0"/>
      <w:marBottom w:val="0"/>
      <w:divBdr>
        <w:top w:val="none" w:sz="0" w:space="0" w:color="auto"/>
        <w:left w:val="none" w:sz="0" w:space="0" w:color="auto"/>
        <w:bottom w:val="none" w:sz="0" w:space="0" w:color="auto"/>
        <w:right w:val="none" w:sz="0" w:space="0" w:color="auto"/>
      </w:divBdr>
    </w:div>
    <w:div w:id="424301435">
      <w:bodyDiv w:val="1"/>
      <w:marLeft w:val="0"/>
      <w:marRight w:val="0"/>
      <w:marTop w:val="0"/>
      <w:marBottom w:val="0"/>
      <w:divBdr>
        <w:top w:val="none" w:sz="0" w:space="0" w:color="auto"/>
        <w:left w:val="none" w:sz="0" w:space="0" w:color="auto"/>
        <w:bottom w:val="none" w:sz="0" w:space="0" w:color="auto"/>
        <w:right w:val="none" w:sz="0" w:space="0" w:color="auto"/>
      </w:divBdr>
    </w:div>
    <w:div w:id="441271332">
      <w:bodyDiv w:val="1"/>
      <w:marLeft w:val="0"/>
      <w:marRight w:val="0"/>
      <w:marTop w:val="0"/>
      <w:marBottom w:val="0"/>
      <w:divBdr>
        <w:top w:val="none" w:sz="0" w:space="0" w:color="auto"/>
        <w:left w:val="none" w:sz="0" w:space="0" w:color="auto"/>
        <w:bottom w:val="none" w:sz="0" w:space="0" w:color="auto"/>
        <w:right w:val="none" w:sz="0" w:space="0" w:color="auto"/>
      </w:divBdr>
    </w:div>
    <w:div w:id="456992658">
      <w:bodyDiv w:val="1"/>
      <w:marLeft w:val="0"/>
      <w:marRight w:val="0"/>
      <w:marTop w:val="0"/>
      <w:marBottom w:val="0"/>
      <w:divBdr>
        <w:top w:val="none" w:sz="0" w:space="0" w:color="auto"/>
        <w:left w:val="none" w:sz="0" w:space="0" w:color="auto"/>
        <w:bottom w:val="none" w:sz="0" w:space="0" w:color="auto"/>
        <w:right w:val="none" w:sz="0" w:space="0" w:color="auto"/>
      </w:divBdr>
    </w:div>
    <w:div w:id="461652418">
      <w:bodyDiv w:val="1"/>
      <w:marLeft w:val="0"/>
      <w:marRight w:val="0"/>
      <w:marTop w:val="0"/>
      <w:marBottom w:val="0"/>
      <w:divBdr>
        <w:top w:val="none" w:sz="0" w:space="0" w:color="auto"/>
        <w:left w:val="none" w:sz="0" w:space="0" w:color="auto"/>
        <w:bottom w:val="none" w:sz="0" w:space="0" w:color="auto"/>
        <w:right w:val="none" w:sz="0" w:space="0" w:color="auto"/>
      </w:divBdr>
    </w:div>
    <w:div w:id="479083371">
      <w:bodyDiv w:val="1"/>
      <w:marLeft w:val="0"/>
      <w:marRight w:val="0"/>
      <w:marTop w:val="0"/>
      <w:marBottom w:val="0"/>
      <w:divBdr>
        <w:top w:val="none" w:sz="0" w:space="0" w:color="auto"/>
        <w:left w:val="none" w:sz="0" w:space="0" w:color="auto"/>
        <w:bottom w:val="none" w:sz="0" w:space="0" w:color="auto"/>
        <w:right w:val="none" w:sz="0" w:space="0" w:color="auto"/>
      </w:divBdr>
    </w:div>
    <w:div w:id="489714391">
      <w:bodyDiv w:val="1"/>
      <w:marLeft w:val="0"/>
      <w:marRight w:val="0"/>
      <w:marTop w:val="0"/>
      <w:marBottom w:val="0"/>
      <w:divBdr>
        <w:top w:val="none" w:sz="0" w:space="0" w:color="auto"/>
        <w:left w:val="none" w:sz="0" w:space="0" w:color="auto"/>
        <w:bottom w:val="none" w:sz="0" w:space="0" w:color="auto"/>
        <w:right w:val="none" w:sz="0" w:space="0" w:color="auto"/>
      </w:divBdr>
    </w:div>
    <w:div w:id="502404694">
      <w:bodyDiv w:val="1"/>
      <w:marLeft w:val="0"/>
      <w:marRight w:val="0"/>
      <w:marTop w:val="0"/>
      <w:marBottom w:val="0"/>
      <w:divBdr>
        <w:top w:val="none" w:sz="0" w:space="0" w:color="auto"/>
        <w:left w:val="none" w:sz="0" w:space="0" w:color="auto"/>
        <w:bottom w:val="none" w:sz="0" w:space="0" w:color="auto"/>
        <w:right w:val="none" w:sz="0" w:space="0" w:color="auto"/>
      </w:divBdr>
    </w:div>
    <w:div w:id="511727183">
      <w:bodyDiv w:val="1"/>
      <w:marLeft w:val="0"/>
      <w:marRight w:val="0"/>
      <w:marTop w:val="0"/>
      <w:marBottom w:val="0"/>
      <w:divBdr>
        <w:top w:val="none" w:sz="0" w:space="0" w:color="auto"/>
        <w:left w:val="none" w:sz="0" w:space="0" w:color="auto"/>
        <w:bottom w:val="none" w:sz="0" w:space="0" w:color="auto"/>
        <w:right w:val="none" w:sz="0" w:space="0" w:color="auto"/>
      </w:divBdr>
    </w:div>
    <w:div w:id="512426667">
      <w:bodyDiv w:val="1"/>
      <w:marLeft w:val="0"/>
      <w:marRight w:val="0"/>
      <w:marTop w:val="0"/>
      <w:marBottom w:val="0"/>
      <w:divBdr>
        <w:top w:val="none" w:sz="0" w:space="0" w:color="auto"/>
        <w:left w:val="none" w:sz="0" w:space="0" w:color="auto"/>
        <w:bottom w:val="none" w:sz="0" w:space="0" w:color="auto"/>
        <w:right w:val="none" w:sz="0" w:space="0" w:color="auto"/>
      </w:divBdr>
    </w:div>
    <w:div w:id="519779381">
      <w:bodyDiv w:val="1"/>
      <w:marLeft w:val="0"/>
      <w:marRight w:val="0"/>
      <w:marTop w:val="0"/>
      <w:marBottom w:val="0"/>
      <w:divBdr>
        <w:top w:val="none" w:sz="0" w:space="0" w:color="auto"/>
        <w:left w:val="none" w:sz="0" w:space="0" w:color="auto"/>
        <w:bottom w:val="none" w:sz="0" w:space="0" w:color="auto"/>
        <w:right w:val="none" w:sz="0" w:space="0" w:color="auto"/>
      </w:divBdr>
    </w:div>
    <w:div w:id="527379711">
      <w:bodyDiv w:val="1"/>
      <w:marLeft w:val="0"/>
      <w:marRight w:val="0"/>
      <w:marTop w:val="0"/>
      <w:marBottom w:val="0"/>
      <w:divBdr>
        <w:top w:val="none" w:sz="0" w:space="0" w:color="auto"/>
        <w:left w:val="none" w:sz="0" w:space="0" w:color="auto"/>
        <w:bottom w:val="none" w:sz="0" w:space="0" w:color="auto"/>
        <w:right w:val="none" w:sz="0" w:space="0" w:color="auto"/>
      </w:divBdr>
    </w:div>
    <w:div w:id="529300806">
      <w:bodyDiv w:val="1"/>
      <w:marLeft w:val="0"/>
      <w:marRight w:val="0"/>
      <w:marTop w:val="0"/>
      <w:marBottom w:val="0"/>
      <w:divBdr>
        <w:top w:val="none" w:sz="0" w:space="0" w:color="auto"/>
        <w:left w:val="none" w:sz="0" w:space="0" w:color="auto"/>
        <w:bottom w:val="none" w:sz="0" w:space="0" w:color="auto"/>
        <w:right w:val="none" w:sz="0" w:space="0" w:color="auto"/>
      </w:divBdr>
    </w:div>
    <w:div w:id="552010312">
      <w:bodyDiv w:val="1"/>
      <w:marLeft w:val="0"/>
      <w:marRight w:val="0"/>
      <w:marTop w:val="0"/>
      <w:marBottom w:val="0"/>
      <w:divBdr>
        <w:top w:val="none" w:sz="0" w:space="0" w:color="auto"/>
        <w:left w:val="none" w:sz="0" w:space="0" w:color="auto"/>
        <w:bottom w:val="none" w:sz="0" w:space="0" w:color="auto"/>
        <w:right w:val="none" w:sz="0" w:space="0" w:color="auto"/>
      </w:divBdr>
    </w:div>
    <w:div w:id="598416741">
      <w:bodyDiv w:val="1"/>
      <w:marLeft w:val="0"/>
      <w:marRight w:val="0"/>
      <w:marTop w:val="0"/>
      <w:marBottom w:val="0"/>
      <w:divBdr>
        <w:top w:val="none" w:sz="0" w:space="0" w:color="auto"/>
        <w:left w:val="none" w:sz="0" w:space="0" w:color="auto"/>
        <w:bottom w:val="none" w:sz="0" w:space="0" w:color="auto"/>
        <w:right w:val="none" w:sz="0" w:space="0" w:color="auto"/>
      </w:divBdr>
    </w:div>
    <w:div w:id="620570557">
      <w:bodyDiv w:val="1"/>
      <w:marLeft w:val="0"/>
      <w:marRight w:val="0"/>
      <w:marTop w:val="0"/>
      <w:marBottom w:val="0"/>
      <w:divBdr>
        <w:top w:val="none" w:sz="0" w:space="0" w:color="auto"/>
        <w:left w:val="none" w:sz="0" w:space="0" w:color="auto"/>
        <w:bottom w:val="none" w:sz="0" w:space="0" w:color="auto"/>
        <w:right w:val="none" w:sz="0" w:space="0" w:color="auto"/>
      </w:divBdr>
    </w:div>
    <w:div w:id="644819829">
      <w:bodyDiv w:val="1"/>
      <w:marLeft w:val="0"/>
      <w:marRight w:val="0"/>
      <w:marTop w:val="0"/>
      <w:marBottom w:val="0"/>
      <w:divBdr>
        <w:top w:val="none" w:sz="0" w:space="0" w:color="auto"/>
        <w:left w:val="none" w:sz="0" w:space="0" w:color="auto"/>
        <w:bottom w:val="none" w:sz="0" w:space="0" w:color="auto"/>
        <w:right w:val="none" w:sz="0" w:space="0" w:color="auto"/>
      </w:divBdr>
    </w:div>
    <w:div w:id="676426197">
      <w:bodyDiv w:val="1"/>
      <w:marLeft w:val="0"/>
      <w:marRight w:val="0"/>
      <w:marTop w:val="0"/>
      <w:marBottom w:val="0"/>
      <w:divBdr>
        <w:top w:val="none" w:sz="0" w:space="0" w:color="auto"/>
        <w:left w:val="none" w:sz="0" w:space="0" w:color="auto"/>
        <w:bottom w:val="none" w:sz="0" w:space="0" w:color="auto"/>
        <w:right w:val="none" w:sz="0" w:space="0" w:color="auto"/>
      </w:divBdr>
    </w:div>
    <w:div w:id="730233342">
      <w:bodyDiv w:val="1"/>
      <w:marLeft w:val="0"/>
      <w:marRight w:val="0"/>
      <w:marTop w:val="0"/>
      <w:marBottom w:val="0"/>
      <w:divBdr>
        <w:top w:val="none" w:sz="0" w:space="0" w:color="auto"/>
        <w:left w:val="none" w:sz="0" w:space="0" w:color="auto"/>
        <w:bottom w:val="none" w:sz="0" w:space="0" w:color="auto"/>
        <w:right w:val="none" w:sz="0" w:space="0" w:color="auto"/>
      </w:divBdr>
    </w:div>
    <w:div w:id="742987778">
      <w:bodyDiv w:val="1"/>
      <w:marLeft w:val="0"/>
      <w:marRight w:val="0"/>
      <w:marTop w:val="0"/>
      <w:marBottom w:val="0"/>
      <w:divBdr>
        <w:top w:val="none" w:sz="0" w:space="0" w:color="auto"/>
        <w:left w:val="none" w:sz="0" w:space="0" w:color="auto"/>
        <w:bottom w:val="none" w:sz="0" w:space="0" w:color="auto"/>
        <w:right w:val="none" w:sz="0" w:space="0" w:color="auto"/>
      </w:divBdr>
    </w:div>
    <w:div w:id="743336450">
      <w:bodyDiv w:val="1"/>
      <w:marLeft w:val="0"/>
      <w:marRight w:val="0"/>
      <w:marTop w:val="0"/>
      <w:marBottom w:val="0"/>
      <w:divBdr>
        <w:top w:val="none" w:sz="0" w:space="0" w:color="auto"/>
        <w:left w:val="none" w:sz="0" w:space="0" w:color="auto"/>
        <w:bottom w:val="none" w:sz="0" w:space="0" w:color="auto"/>
        <w:right w:val="none" w:sz="0" w:space="0" w:color="auto"/>
      </w:divBdr>
    </w:div>
    <w:div w:id="745490588">
      <w:bodyDiv w:val="1"/>
      <w:marLeft w:val="0"/>
      <w:marRight w:val="0"/>
      <w:marTop w:val="0"/>
      <w:marBottom w:val="0"/>
      <w:divBdr>
        <w:top w:val="none" w:sz="0" w:space="0" w:color="auto"/>
        <w:left w:val="none" w:sz="0" w:space="0" w:color="auto"/>
        <w:bottom w:val="none" w:sz="0" w:space="0" w:color="auto"/>
        <w:right w:val="none" w:sz="0" w:space="0" w:color="auto"/>
      </w:divBdr>
    </w:div>
    <w:div w:id="770316021">
      <w:bodyDiv w:val="1"/>
      <w:marLeft w:val="0"/>
      <w:marRight w:val="0"/>
      <w:marTop w:val="0"/>
      <w:marBottom w:val="0"/>
      <w:divBdr>
        <w:top w:val="none" w:sz="0" w:space="0" w:color="auto"/>
        <w:left w:val="none" w:sz="0" w:space="0" w:color="auto"/>
        <w:bottom w:val="none" w:sz="0" w:space="0" w:color="auto"/>
        <w:right w:val="none" w:sz="0" w:space="0" w:color="auto"/>
      </w:divBdr>
    </w:div>
    <w:div w:id="813372583">
      <w:bodyDiv w:val="1"/>
      <w:marLeft w:val="0"/>
      <w:marRight w:val="0"/>
      <w:marTop w:val="0"/>
      <w:marBottom w:val="0"/>
      <w:divBdr>
        <w:top w:val="none" w:sz="0" w:space="0" w:color="auto"/>
        <w:left w:val="none" w:sz="0" w:space="0" w:color="auto"/>
        <w:bottom w:val="none" w:sz="0" w:space="0" w:color="auto"/>
        <w:right w:val="none" w:sz="0" w:space="0" w:color="auto"/>
      </w:divBdr>
    </w:div>
    <w:div w:id="821771487">
      <w:bodyDiv w:val="1"/>
      <w:marLeft w:val="0"/>
      <w:marRight w:val="0"/>
      <w:marTop w:val="0"/>
      <w:marBottom w:val="0"/>
      <w:divBdr>
        <w:top w:val="none" w:sz="0" w:space="0" w:color="auto"/>
        <w:left w:val="none" w:sz="0" w:space="0" w:color="auto"/>
        <w:bottom w:val="none" w:sz="0" w:space="0" w:color="auto"/>
        <w:right w:val="none" w:sz="0" w:space="0" w:color="auto"/>
      </w:divBdr>
    </w:div>
    <w:div w:id="834303386">
      <w:bodyDiv w:val="1"/>
      <w:marLeft w:val="0"/>
      <w:marRight w:val="0"/>
      <w:marTop w:val="0"/>
      <w:marBottom w:val="0"/>
      <w:divBdr>
        <w:top w:val="none" w:sz="0" w:space="0" w:color="auto"/>
        <w:left w:val="none" w:sz="0" w:space="0" w:color="auto"/>
        <w:bottom w:val="none" w:sz="0" w:space="0" w:color="auto"/>
        <w:right w:val="none" w:sz="0" w:space="0" w:color="auto"/>
      </w:divBdr>
    </w:div>
    <w:div w:id="843206656">
      <w:bodyDiv w:val="1"/>
      <w:marLeft w:val="0"/>
      <w:marRight w:val="0"/>
      <w:marTop w:val="0"/>
      <w:marBottom w:val="0"/>
      <w:divBdr>
        <w:top w:val="none" w:sz="0" w:space="0" w:color="auto"/>
        <w:left w:val="none" w:sz="0" w:space="0" w:color="auto"/>
        <w:bottom w:val="none" w:sz="0" w:space="0" w:color="auto"/>
        <w:right w:val="none" w:sz="0" w:space="0" w:color="auto"/>
      </w:divBdr>
    </w:div>
    <w:div w:id="885675353">
      <w:bodyDiv w:val="1"/>
      <w:marLeft w:val="0"/>
      <w:marRight w:val="0"/>
      <w:marTop w:val="0"/>
      <w:marBottom w:val="0"/>
      <w:divBdr>
        <w:top w:val="none" w:sz="0" w:space="0" w:color="auto"/>
        <w:left w:val="none" w:sz="0" w:space="0" w:color="auto"/>
        <w:bottom w:val="none" w:sz="0" w:space="0" w:color="auto"/>
        <w:right w:val="none" w:sz="0" w:space="0" w:color="auto"/>
      </w:divBdr>
    </w:div>
    <w:div w:id="886647538">
      <w:bodyDiv w:val="1"/>
      <w:marLeft w:val="0"/>
      <w:marRight w:val="0"/>
      <w:marTop w:val="0"/>
      <w:marBottom w:val="0"/>
      <w:divBdr>
        <w:top w:val="none" w:sz="0" w:space="0" w:color="auto"/>
        <w:left w:val="none" w:sz="0" w:space="0" w:color="auto"/>
        <w:bottom w:val="none" w:sz="0" w:space="0" w:color="auto"/>
        <w:right w:val="none" w:sz="0" w:space="0" w:color="auto"/>
      </w:divBdr>
    </w:div>
    <w:div w:id="922496408">
      <w:bodyDiv w:val="1"/>
      <w:marLeft w:val="0"/>
      <w:marRight w:val="0"/>
      <w:marTop w:val="0"/>
      <w:marBottom w:val="0"/>
      <w:divBdr>
        <w:top w:val="none" w:sz="0" w:space="0" w:color="auto"/>
        <w:left w:val="none" w:sz="0" w:space="0" w:color="auto"/>
        <w:bottom w:val="none" w:sz="0" w:space="0" w:color="auto"/>
        <w:right w:val="none" w:sz="0" w:space="0" w:color="auto"/>
      </w:divBdr>
    </w:div>
    <w:div w:id="928541922">
      <w:bodyDiv w:val="1"/>
      <w:marLeft w:val="0"/>
      <w:marRight w:val="0"/>
      <w:marTop w:val="0"/>
      <w:marBottom w:val="0"/>
      <w:divBdr>
        <w:top w:val="none" w:sz="0" w:space="0" w:color="auto"/>
        <w:left w:val="none" w:sz="0" w:space="0" w:color="auto"/>
        <w:bottom w:val="none" w:sz="0" w:space="0" w:color="auto"/>
        <w:right w:val="none" w:sz="0" w:space="0" w:color="auto"/>
      </w:divBdr>
    </w:div>
    <w:div w:id="984234765">
      <w:bodyDiv w:val="1"/>
      <w:marLeft w:val="0"/>
      <w:marRight w:val="0"/>
      <w:marTop w:val="0"/>
      <w:marBottom w:val="0"/>
      <w:divBdr>
        <w:top w:val="none" w:sz="0" w:space="0" w:color="auto"/>
        <w:left w:val="none" w:sz="0" w:space="0" w:color="auto"/>
        <w:bottom w:val="none" w:sz="0" w:space="0" w:color="auto"/>
        <w:right w:val="none" w:sz="0" w:space="0" w:color="auto"/>
      </w:divBdr>
    </w:div>
    <w:div w:id="1013336234">
      <w:bodyDiv w:val="1"/>
      <w:marLeft w:val="0"/>
      <w:marRight w:val="0"/>
      <w:marTop w:val="0"/>
      <w:marBottom w:val="0"/>
      <w:divBdr>
        <w:top w:val="none" w:sz="0" w:space="0" w:color="auto"/>
        <w:left w:val="none" w:sz="0" w:space="0" w:color="auto"/>
        <w:bottom w:val="none" w:sz="0" w:space="0" w:color="auto"/>
        <w:right w:val="none" w:sz="0" w:space="0" w:color="auto"/>
      </w:divBdr>
    </w:div>
    <w:div w:id="1020395613">
      <w:bodyDiv w:val="1"/>
      <w:marLeft w:val="0"/>
      <w:marRight w:val="0"/>
      <w:marTop w:val="0"/>
      <w:marBottom w:val="0"/>
      <w:divBdr>
        <w:top w:val="none" w:sz="0" w:space="0" w:color="auto"/>
        <w:left w:val="none" w:sz="0" w:space="0" w:color="auto"/>
        <w:bottom w:val="none" w:sz="0" w:space="0" w:color="auto"/>
        <w:right w:val="none" w:sz="0" w:space="0" w:color="auto"/>
      </w:divBdr>
    </w:div>
    <w:div w:id="1061322585">
      <w:bodyDiv w:val="1"/>
      <w:marLeft w:val="0"/>
      <w:marRight w:val="0"/>
      <w:marTop w:val="0"/>
      <w:marBottom w:val="0"/>
      <w:divBdr>
        <w:top w:val="none" w:sz="0" w:space="0" w:color="auto"/>
        <w:left w:val="none" w:sz="0" w:space="0" w:color="auto"/>
        <w:bottom w:val="none" w:sz="0" w:space="0" w:color="auto"/>
        <w:right w:val="none" w:sz="0" w:space="0" w:color="auto"/>
      </w:divBdr>
    </w:div>
    <w:div w:id="1069621534">
      <w:bodyDiv w:val="1"/>
      <w:marLeft w:val="0"/>
      <w:marRight w:val="0"/>
      <w:marTop w:val="0"/>
      <w:marBottom w:val="0"/>
      <w:divBdr>
        <w:top w:val="none" w:sz="0" w:space="0" w:color="auto"/>
        <w:left w:val="none" w:sz="0" w:space="0" w:color="auto"/>
        <w:bottom w:val="none" w:sz="0" w:space="0" w:color="auto"/>
        <w:right w:val="none" w:sz="0" w:space="0" w:color="auto"/>
      </w:divBdr>
    </w:div>
    <w:div w:id="1086535124">
      <w:bodyDiv w:val="1"/>
      <w:marLeft w:val="0"/>
      <w:marRight w:val="0"/>
      <w:marTop w:val="0"/>
      <w:marBottom w:val="0"/>
      <w:divBdr>
        <w:top w:val="none" w:sz="0" w:space="0" w:color="auto"/>
        <w:left w:val="none" w:sz="0" w:space="0" w:color="auto"/>
        <w:bottom w:val="none" w:sz="0" w:space="0" w:color="auto"/>
        <w:right w:val="none" w:sz="0" w:space="0" w:color="auto"/>
      </w:divBdr>
    </w:div>
    <w:div w:id="1101535768">
      <w:bodyDiv w:val="1"/>
      <w:marLeft w:val="0"/>
      <w:marRight w:val="0"/>
      <w:marTop w:val="0"/>
      <w:marBottom w:val="0"/>
      <w:divBdr>
        <w:top w:val="none" w:sz="0" w:space="0" w:color="auto"/>
        <w:left w:val="none" w:sz="0" w:space="0" w:color="auto"/>
        <w:bottom w:val="none" w:sz="0" w:space="0" w:color="auto"/>
        <w:right w:val="none" w:sz="0" w:space="0" w:color="auto"/>
      </w:divBdr>
    </w:div>
    <w:div w:id="1101878727">
      <w:bodyDiv w:val="1"/>
      <w:marLeft w:val="0"/>
      <w:marRight w:val="0"/>
      <w:marTop w:val="0"/>
      <w:marBottom w:val="0"/>
      <w:divBdr>
        <w:top w:val="none" w:sz="0" w:space="0" w:color="auto"/>
        <w:left w:val="none" w:sz="0" w:space="0" w:color="auto"/>
        <w:bottom w:val="none" w:sz="0" w:space="0" w:color="auto"/>
        <w:right w:val="none" w:sz="0" w:space="0" w:color="auto"/>
      </w:divBdr>
    </w:div>
    <w:div w:id="1130245894">
      <w:bodyDiv w:val="1"/>
      <w:marLeft w:val="0"/>
      <w:marRight w:val="0"/>
      <w:marTop w:val="0"/>
      <w:marBottom w:val="0"/>
      <w:divBdr>
        <w:top w:val="none" w:sz="0" w:space="0" w:color="auto"/>
        <w:left w:val="none" w:sz="0" w:space="0" w:color="auto"/>
        <w:bottom w:val="none" w:sz="0" w:space="0" w:color="auto"/>
        <w:right w:val="none" w:sz="0" w:space="0" w:color="auto"/>
      </w:divBdr>
    </w:div>
    <w:div w:id="1142891291">
      <w:bodyDiv w:val="1"/>
      <w:marLeft w:val="0"/>
      <w:marRight w:val="0"/>
      <w:marTop w:val="0"/>
      <w:marBottom w:val="0"/>
      <w:divBdr>
        <w:top w:val="none" w:sz="0" w:space="0" w:color="auto"/>
        <w:left w:val="none" w:sz="0" w:space="0" w:color="auto"/>
        <w:bottom w:val="none" w:sz="0" w:space="0" w:color="auto"/>
        <w:right w:val="none" w:sz="0" w:space="0" w:color="auto"/>
      </w:divBdr>
    </w:div>
    <w:div w:id="1149519398">
      <w:bodyDiv w:val="1"/>
      <w:marLeft w:val="0"/>
      <w:marRight w:val="0"/>
      <w:marTop w:val="0"/>
      <w:marBottom w:val="0"/>
      <w:divBdr>
        <w:top w:val="none" w:sz="0" w:space="0" w:color="auto"/>
        <w:left w:val="none" w:sz="0" w:space="0" w:color="auto"/>
        <w:bottom w:val="none" w:sz="0" w:space="0" w:color="auto"/>
        <w:right w:val="none" w:sz="0" w:space="0" w:color="auto"/>
      </w:divBdr>
    </w:div>
    <w:div w:id="1189950220">
      <w:bodyDiv w:val="1"/>
      <w:marLeft w:val="0"/>
      <w:marRight w:val="0"/>
      <w:marTop w:val="0"/>
      <w:marBottom w:val="0"/>
      <w:divBdr>
        <w:top w:val="none" w:sz="0" w:space="0" w:color="auto"/>
        <w:left w:val="none" w:sz="0" w:space="0" w:color="auto"/>
        <w:bottom w:val="none" w:sz="0" w:space="0" w:color="auto"/>
        <w:right w:val="none" w:sz="0" w:space="0" w:color="auto"/>
      </w:divBdr>
    </w:div>
    <w:div w:id="1191796749">
      <w:bodyDiv w:val="1"/>
      <w:marLeft w:val="0"/>
      <w:marRight w:val="0"/>
      <w:marTop w:val="0"/>
      <w:marBottom w:val="0"/>
      <w:divBdr>
        <w:top w:val="none" w:sz="0" w:space="0" w:color="auto"/>
        <w:left w:val="none" w:sz="0" w:space="0" w:color="auto"/>
        <w:bottom w:val="none" w:sz="0" w:space="0" w:color="auto"/>
        <w:right w:val="none" w:sz="0" w:space="0" w:color="auto"/>
      </w:divBdr>
    </w:div>
    <w:div w:id="1199203654">
      <w:bodyDiv w:val="1"/>
      <w:marLeft w:val="0"/>
      <w:marRight w:val="0"/>
      <w:marTop w:val="0"/>
      <w:marBottom w:val="0"/>
      <w:divBdr>
        <w:top w:val="none" w:sz="0" w:space="0" w:color="auto"/>
        <w:left w:val="none" w:sz="0" w:space="0" w:color="auto"/>
        <w:bottom w:val="none" w:sz="0" w:space="0" w:color="auto"/>
        <w:right w:val="none" w:sz="0" w:space="0" w:color="auto"/>
      </w:divBdr>
    </w:div>
    <w:div w:id="1235240162">
      <w:bodyDiv w:val="1"/>
      <w:marLeft w:val="0"/>
      <w:marRight w:val="0"/>
      <w:marTop w:val="0"/>
      <w:marBottom w:val="0"/>
      <w:divBdr>
        <w:top w:val="none" w:sz="0" w:space="0" w:color="auto"/>
        <w:left w:val="none" w:sz="0" w:space="0" w:color="auto"/>
        <w:bottom w:val="none" w:sz="0" w:space="0" w:color="auto"/>
        <w:right w:val="none" w:sz="0" w:space="0" w:color="auto"/>
      </w:divBdr>
    </w:div>
    <w:div w:id="1256941537">
      <w:bodyDiv w:val="1"/>
      <w:marLeft w:val="0"/>
      <w:marRight w:val="0"/>
      <w:marTop w:val="0"/>
      <w:marBottom w:val="0"/>
      <w:divBdr>
        <w:top w:val="none" w:sz="0" w:space="0" w:color="auto"/>
        <w:left w:val="none" w:sz="0" w:space="0" w:color="auto"/>
        <w:bottom w:val="none" w:sz="0" w:space="0" w:color="auto"/>
        <w:right w:val="none" w:sz="0" w:space="0" w:color="auto"/>
      </w:divBdr>
    </w:div>
    <w:div w:id="1266230520">
      <w:bodyDiv w:val="1"/>
      <w:marLeft w:val="0"/>
      <w:marRight w:val="0"/>
      <w:marTop w:val="0"/>
      <w:marBottom w:val="0"/>
      <w:divBdr>
        <w:top w:val="none" w:sz="0" w:space="0" w:color="auto"/>
        <w:left w:val="none" w:sz="0" w:space="0" w:color="auto"/>
        <w:bottom w:val="none" w:sz="0" w:space="0" w:color="auto"/>
        <w:right w:val="none" w:sz="0" w:space="0" w:color="auto"/>
      </w:divBdr>
    </w:div>
    <w:div w:id="1271158765">
      <w:bodyDiv w:val="1"/>
      <w:marLeft w:val="0"/>
      <w:marRight w:val="0"/>
      <w:marTop w:val="0"/>
      <w:marBottom w:val="0"/>
      <w:divBdr>
        <w:top w:val="none" w:sz="0" w:space="0" w:color="auto"/>
        <w:left w:val="none" w:sz="0" w:space="0" w:color="auto"/>
        <w:bottom w:val="none" w:sz="0" w:space="0" w:color="auto"/>
        <w:right w:val="none" w:sz="0" w:space="0" w:color="auto"/>
      </w:divBdr>
    </w:div>
    <w:div w:id="1271549286">
      <w:bodyDiv w:val="1"/>
      <w:marLeft w:val="0"/>
      <w:marRight w:val="0"/>
      <w:marTop w:val="0"/>
      <w:marBottom w:val="0"/>
      <w:divBdr>
        <w:top w:val="none" w:sz="0" w:space="0" w:color="auto"/>
        <w:left w:val="none" w:sz="0" w:space="0" w:color="auto"/>
        <w:bottom w:val="none" w:sz="0" w:space="0" w:color="auto"/>
        <w:right w:val="none" w:sz="0" w:space="0" w:color="auto"/>
      </w:divBdr>
    </w:div>
    <w:div w:id="1291790835">
      <w:bodyDiv w:val="1"/>
      <w:marLeft w:val="0"/>
      <w:marRight w:val="0"/>
      <w:marTop w:val="0"/>
      <w:marBottom w:val="0"/>
      <w:divBdr>
        <w:top w:val="none" w:sz="0" w:space="0" w:color="auto"/>
        <w:left w:val="none" w:sz="0" w:space="0" w:color="auto"/>
        <w:bottom w:val="none" w:sz="0" w:space="0" w:color="auto"/>
        <w:right w:val="none" w:sz="0" w:space="0" w:color="auto"/>
      </w:divBdr>
    </w:div>
    <w:div w:id="1304506900">
      <w:bodyDiv w:val="1"/>
      <w:marLeft w:val="0"/>
      <w:marRight w:val="0"/>
      <w:marTop w:val="0"/>
      <w:marBottom w:val="0"/>
      <w:divBdr>
        <w:top w:val="none" w:sz="0" w:space="0" w:color="auto"/>
        <w:left w:val="none" w:sz="0" w:space="0" w:color="auto"/>
        <w:bottom w:val="none" w:sz="0" w:space="0" w:color="auto"/>
        <w:right w:val="none" w:sz="0" w:space="0" w:color="auto"/>
      </w:divBdr>
    </w:div>
    <w:div w:id="1317606383">
      <w:bodyDiv w:val="1"/>
      <w:marLeft w:val="0"/>
      <w:marRight w:val="0"/>
      <w:marTop w:val="0"/>
      <w:marBottom w:val="0"/>
      <w:divBdr>
        <w:top w:val="none" w:sz="0" w:space="0" w:color="auto"/>
        <w:left w:val="none" w:sz="0" w:space="0" w:color="auto"/>
        <w:bottom w:val="none" w:sz="0" w:space="0" w:color="auto"/>
        <w:right w:val="none" w:sz="0" w:space="0" w:color="auto"/>
      </w:divBdr>
    </w:div>
    <w:div w:id="1322390501">
      <w:bodyDiv w:val="1"/>
      <w:marLeft w:val="0"/>
      <w:marRight w:val="0"/>
      <w:marTop w:val="0"/>
      <w:marBottom w:val="0"/>
      <w:divBdr>
        <w:top w:val="none" w:sz="0" w:space="0" w:color="auto"/>
        <w:left w:val="none" w:sz="0" w:space="0" w:color="auto"/>
        <w:bottom w:val="none" w:sz="0" w:space="0" w:color="auto"/>
        <w:right w:val="none" w:sz="0" w:space="0" w:color="auto"/>
      </w:divBdr>
    </w:div>
    <w:div w:id="1322661186">
      <w:bodyDiv w:val="1"/>
      <w:marLeft w:val="0"/>
      <w:marRight w:val="0"/>
      <w:marTop w:val="0"/>
      <w:marBottom w:val="0"/>
      <w:divBdr>
        <w:top w:val="none" w:sz="0" w:space="0" w:color="auto"/>
        <w:left w:val="none" w:sz="0" w:space="0" w:color="auto"/>
        <w:bottom w:val="none" w:sz="0" w:space="0" w:color="auto"/>
        <w:right w:val="none" w:sz="0" w:space="0" w:color="auto"/>
      </w:divBdr>
    </w:div>
    <w:div w:id="1324162352">
      <w:bodyDiv w:val="1"/>
      <w:marLeft w:val="0"/>
      <w:marRight w:val="0"/>
      <w:marTop w:val="0"/>
      <w:marBottom w:val="0"/>
      <w:divBdr>
        <w:top w:val="none" w:sz="0" w:space="0" w:color="auto"/>
        <w:left w:val="none" w:sz="0" w:space="0" w:color="auto"/>
        <w:bottom w:val="none" w:sz="0" w:space="0" w:color="auto"/>
        <w:right w:val="none" w:sz="0" w:space="0" w:color="auto"/>
      </w:divBdr>
    </w:div>
    <w:div w:id="1340547897">
      <w:bodyDiv w:val="1"/>
      <w:marLeft w:val="0"/>
      <w:marRight w:val="0"/>
      <w:marTop w:val="0"/>
      <w:marBottom w:val="0"/>
      <w:divBdr>
        <w:top w:val="none" w:sz="0" w:space="0" w:color="auto"/>
        <w:left w:val="none" w:sz="0" w:space="0" w:color="auto"/>
        <w:bottom w:val="none" w:sz="0" w:space="0" w:color="auto"/>
        <w:right w:val="none" w:sz="0" w:space="0" w:color="auto"/>
      </w:divBdr>
    </w:div>
    <w:div w:id="1349022965">
      <w:bodyDiv w:val="1"/>
      <w:marLeft w:val="0"/>
      <w:marRight w:val="0"/>
      <w:marTop w:val="0"/>
      <w:marBottom w:val="0"/>
      <w:divBdr>
        <w:top w:val="none" w:sz="0" w:space="0" w:color="auto"/>
        <w:left w:val="none" w:sz="0" w:space="0" w:color="auto"/>
        <w:bottom w:val="none" w:sz="0" w:space="0" w:color="auto"/>
        <w:right w:val="none" w:sz="0" w:space="0" w:color="auto"/>
      </w:divBdr>
    </w:div>
    <w:div w:id="1355695745">
      <w:bodyDiv w:val="1"/>
      <w:marLeft w:val="0"/>
      <w:marRight w:val="0"/>
      <w:marTop w:val="0"/>
      <w:marBottom w:val="0"/>
      <w:divBdr>
        <w:top w:val="none" w:sz="0" w:space="0" w:color="auto"/>
        <w:left w:val="none" w:sz="0" w:space="0" w:color="auto"/>
        <w:bottom w:val="none" w:sz="0" w:space="0" w:color="auto"/>
        <w:right w:val="none" w:sz="0" w:space="0" w:color="auto"/>
      </w:divBdr>
    </w:div>
    <w:div w:id="1355956976">
      <w:bodyDiv w:val="1"/>
      <w:marLeft w:val="0"/>
      <w:marRight w:val="0"/>
      <w:marTop w:val="0"/>
      <w:marBottom w:val="0"/>
      <w:divBdr>
        <w:top w:val="none" w:sz="0" w:space="0" w:color="auto"/>
        <w:left w:val="none" w:sz="0" w:space="0" w:color="auto"/>
        <w:bottom w:val="none" w:sz="0" w:space="0" w:color="auto"/>
        <w:right w:val="none" w:sz="0" w:space="0" w:color="auto"/>
      </w:divBdr>
    </w:div>
    <w:div w:id="1448695596">
      <w:bodyDiv w:val="1"/>
      <w:marLeft w:val="0"/>
      <w:marRight w:val="0"/>
      <w:marTop w:val="0"/>
      <w:marBottom w:val="0"/>
      <w:divBdr>
        <w:top w:val="none" w:sz="0" w:space="0" w:color="auto"/>
        <w:left w:val="none" w:sz="0" w:space="0" w:color="auto"/>
        <w:bottom w:val="none" w:sz="0" w:space="0" w:color="auto"/>
        <w:right w:val="none" w:sz="0" w:space="0" w:color="auto"/>
      </w:divBdr>
    </w:div>
    <w:div w:id="1453288220">
      <w:bodyDiv w:val="1"/>
      <w:marLeft w:val="0"/>
      <w:marRight w:val="0"/>
      <w:marTop w:val="0"/>
      <w:marBottom w:val="0"/>
      <w:divBdr>
        <w:top w:val="none" w:sz="0" w:space="0" w:color="auto"/>
        <w:left w:val="none" w:sz="0" w:space="0" w:color="auto"/>
        <w:bottom w:val="none" w:sz="0" w:space="0" w:color="auto"/>
        <w:right w:val="none" w:sz="0" w:space="0" w:color="auto"/>
      </w:divBdr>
    </w:div>
    <w:div w:id="1454976989">
      <w:bodyDiv w:val="1"/>
      <w:marLeft w:val="0"/>
      <w:marRight w:val="0"/>
      <w:marTop w:val="0"/>
      <w:marBottom w:val="0"/>
      <w:divBdr>
        <w:top w:val="none" w:sz="0" w:space="0" w:color="auto"/>
        <w:left w:val="none" w:sz="0" w:space="0" w:color="auto"/>
        <w:bottom w:val="none" w:sz="0" w:space="0" w:color="auto"/>
        <w:right w:val="none" w:sz="0" w:space="0" w:color="auto"/>
      </w:divBdr>
    </w:div>
    <w:div w:id="1496723354">
      <w:bodyDiv w:val="1"/>
      <w:marLeft w:val="0"/>
      <w:marRight w:val="0"/>
      <w:marTop w:val="0"/>
      <w:marBottom w:val="0"/>
      <w:divBdr>
        <w:top w:val="none" w:sz="0" w:space="0" w:color="auto"/>
        <w:left w:val="none" w:sz="0" w:space="0" w:color="auto"/>
        <w:bottom w:val="none" w:sz="0" w:space="0" w:color="auto"/>
        <w:right w:val="none" w:sz="0" w:space="0" w:color="auto"/>
      </w:divBdr>
    </w:div>
    <w:div w:id="1508325757">
      <w:bodyDiv w:val="1"/>
      <w:marLeft w:val="0"/>
      <w:marRight w:val="0"/>
      <w:marTop w:val="0"/>
      <w:marBottom w:val="0"/>
      <w:divBdr>
        <w:top w:val="none" w:sz="0" w:space="0" w:color="auto"/>
        <w:left w:val="none" w:sz="0" w:space="0" w:color="auto"/>
        <w:bottom w:val="none" w:sz="0" w:space="0" w:color="auto"/>
        <w:right w:val="none" w:sz="0" w:space="0" w:color="auto"/>
      </w:divBdr>
    </w:div>
    <w:div w:id="1513489454">
      <w:bodyDiv w:val="1"/>
      <w:marLeft w:val="0"/>
      <w:marRight w:val="0"/>
      <w:marTop w:val="0"/>
      <w:marBottom w:val="0"/>
      <w:divBdr>
        <w:top w:val="none" w:sz="0" w:space="0" w:color="auto"/>
        <w:left w:val="none" w:sz="0" w:space="0" w:color="auto"/>
        <w:bottom w:val="none" w:sz="0" w:space="0" w:color="auto"/>
        <w:right w:val="none" w:sz="0" w:space="0" w:color="auto"/>
      </w:divBdr>
    </w:div>
    <w:div w:id="1527645206">
      <w:bodyDiv w:val="1"/>
      <w:marLeft w:val="0"/>
      <w:marRight w:val="0"/>
      <w:marTop w:val="0"/>
      <w:marBottom w:val="0"/>
      <w:divBdr>
        <w:top w:val="none" w:sz="0" w:space="0" w:color="auto"/>
        <w:left w:val="none" w:sz="0" w:space="0" w:color="auto"/>
        <w:bottom w:val="none" w:sz="0" w:space="0" w:color="auto"/>
        <w:right w:val="none" w:sz="0" w:space="0" w:color="auto"/>
      </w:divBdr>
    </w:div>
    <w:div w:id="1538657988">
      <w:bodyDiv w:val="1"/>
      <w:marLeft w:val="0"/>
      <w:marRight w:val="0"/>
      <w:marTop w:val="0"/>
      <w:marBottom w:val="0"/>
      <w:divBdr>
        <w:top w:val="none" w:sz="0" w:space="0" w:color="auto"/>
        <w:left w:val="none" w:sz="0" w:space="0" w:color="auto"/>
        <w:bottom w:val="none" w:sz="0" w:space="0" w:color="auto"/>
        <w:right w:val="none" w:sz="0" w:space="0" w:color="auto"/>
      </w:divBdr>
    </w:div>
    <w:div w:id="1556046669">
      <w:bodyDiv w:val="1"/>
      <w:marLeft w:val="0"/>
      <w:marRight w:val="0"/>
      <w:marTop w:val="0"/>
      <w:marBottom w:val="0"/>
      <w:divBdr>
        <w:top w:val="none" w:sz="0" w:space="0" w:color="auto"/>
        <w:left w:val="none" w:sz="0" w:space="0" w:color="auto"/>
        <w:bottom w:val="none" w:sz="0" w:space="0" w:color="auto"/>
        <w:right w:val="none" w:sz="0" w:space="0" w:color="auto"/>
      </w:divBdr>
    </w:div>
    <w:div w:id="1584485855">
      <w:bodyDiv w:val="1"/>
      <w:marLeft w:val="0"/>
      <w:marRight w:val="0"/>
      <w:marTop w:val="0"/>
      <w:marBottom w:val="0"/>
      <w:divBdr>
        <w:top w:val="none" w:sz="0" w:space="0" w:color="auto"/>
        <w:left w:val="none" w:sz="0" w:space="0" w:color="auto"/>
        <w:bottom w:val="none" w:sz="0" w:space="0" w:color="auto"/>
        <w:right w:val="none" w:sz="0" w:space="0" w:color="auto"/>
      </w:divBdr>
    </w:div>
    <w:div w:id="1610236842">
      <w:bodyDiv w:val="1"/>
      <w:marLeft w:val="0"/>
      <w:marRight w:val="0"/>
      <w:marTop w:val="0"/>
      <w:marBottom w:val="0"/>
      <w:divBdr>
        <w:top w:val="none" w:sz="0" w:space="0" w:color="auto"/>
        <w:left w:val="none" w:sz="0" w:space="0" w:color="auto"/>
        <w:bottom w:val="none" w:sz="0" w:space="0" w:color="auto"/>
        <w:right w:val="none" w:sz="0" w:space="0" w:color="auto"/>
      </w:divBdr>
    </w:div>
    <w:div w:id="1622300989">
      <w:bodyDiv w:val="1"/>
      <w:marLeft w:val="0"/>
      <w:marRight w:val="0"/>
      <w:marTop w:val="0"/>
      <w:marBottom w:val="0"/>
      <w:divBdr>
        <w:top w:val="none" w:sz="0" w:space="0" w:color="auto"/>
        <w:left w:val="none" w:sz="0" w:space="0" w:color="auto"/>
        <w:bottom w:val="none" w:sz="0" w:space="0" w:color="auto"/>
        <w:right w:val="none" w:sz="0" w:space="0" w:color="auto"/>
      </w:divBdr>
    </w:div>
    <w:div w:id="1626302837">
      <w:bodyDiv w:val="1"/>
      <w:marLeft w:val="0"/>
      <w:marRight w:val="0"/>
      <w:marTop w:val="0"/>
      <w:marBottom w:val="0"/>
      <w:divBdr>
        <w:top w:val="none" w:sz="0" w:space="0" w:color="auto"/>
        <w:left w:val="none" w:sz="0" w:space="0" w:color="auto"/>
        <w:bottom w:val="none" w:sz="0" w:space="0" w:color="auto"/>
        <w:right w:val="none" w:sz="0" w:space="0" w:color="auto"/>
      </w:divBdr>
    </w:div>
    <w:div w:id="1636836634">
      <w:bodyDiv w:val="1"/>
      <w:marLeft w:val="0"/>
      <w:marRight w:val="0"/>
      <w:marTop w:val="0"/>
      <w:marBottom w:val="0"/>
      <w:divBdr>
        <w:top w:val="none" w:sz="0" w:space="0" w:color="auto"/>
        <w:left w:val="none" w:sz="0" w:space="0" w:color="auto"/>
        <w:bottom w:val="none" w:sz="0" w:space="0" w:color="auto"/>
        <w:right w:val="none" w:sz="0" w:space="0" w:color="auto"/>
      </w:divBdr>
    </w:div>
    <w:div w:id="1654411542">
      <w:bodyDiv w:val="1"/>
      <w:marLeft w:val="0"/>
      <w:marRight w:val="0"/>
      <w:marTop w:val="0"/>
      <w:marBottom w:val="0"/>
      <w:divBdr>
        <w:top w:val="none" w:sz="0" w:space="0" w:color="auto"/>
        <w:left w:val="none" w:sz="0" w:space="0" w:color="auto"/>
        <w:bottom w:val="none" w:sz="0" w:space="0" w:color="auto"/>
        <w:right w:val="none" w:sz="0" w:space="0" w:color="auto"/>
      </w:divBdr>
    </w:div>
    <w:div w:id="1675952832">
      <w:bodyDiv w:val="1"/>
      <w:marLeft w:val="0"/>
      <w:marRight w:val="0"/>
      <w:marTop w:val="0"/>
      <w:marBottom w:val="0"/>
      <w:divBdr>
        <w:top w:val="none" w:sz="0" w:space="0" w:color="auto"/>
        <w:left w:val="none" w:sz="0" w:space="0" w:color="auto"/>
        <w:bottom w:val="none" w:sz="0" w:space="0" w:color="auto"/>
        <w:right w:val="none" w:sz="0" w:space="0" w:color="auto"/>
      </w:divBdr>
    </w:div>
    <w:div w:id="1676612233">
      <w:bodyDiv w:val="1"/>
      <w:marLeft w:val="0"/>
      <w:marRight w:val="0"/>
      <w:marTop w:val="0"/>
      <w:marBottom w:val="0"/>
      <w:divBdr>
        <w:top w:val="none" w:sz="0" w:space="0" w:color="auto"/>
        <w:left w:val="none" w:sz="0" w:space="0" w:color="auto"/>
        <w:bottom w:val="none" w:sz="0" w:space="0" w:color="auto"/>
        <w:right w:val="none" w:sz="0" w:space="0" w:color="auto"/>
      </w:divBdr>
    </w:div>
    <w:div w:id="1722747525">
      <w:bodyDiv w:val="1"/>
      <w:marLeft w:val="0"/>
      <w:marRight w:val="0"/>
      <w:marTop w:val="0"/>
      <w:marBottom w:val="0"/>
      <w:divBdr>
        <w:top w:val="none" w:sz="0" w:space="0" w:color="auto"/>
        <w:left w:val="none" w:sz="0" w:space="0" w:color="auto"/>
        <w:bottom w:val="none" w:sz="0" w:space="0" w:color="auto"/>
        <w:right w:val="none" w:sz="0" w:space="0" w:color="auto"/>
      </w:divBdr>
    </w:div>
    <w:div w:id="1726876674">
      <w:bodyDiv w:val="1"/>
      <w:marLeft w:val="0"/>
      <w:marRight w:val="0"/>
      <w:marTop w:val="0"/>
      <w:marBottom w:val="0"/>
      <w:divBdr>
        <w:top w:val="none" w:sz="0" w:space="0" w:color="auto"/>
        <w:left w:val="none" w:sz="0" w:space="0" w:color="auto"/>
        <w:bottom w:val="none" w:sz="0" w:space="0" w:color="auto"/>
        <w:right w:val="none" w:sz="0" w:space="0" w:color="auto"/>
      </w:divBdr>
    </w:div>
    <w:div w:id="1751275028">
      <w:bodyDiv w:val="1"/>
      <w:marLeft w:val="0"/>
      <w:marRight w:val="0"/>
      <w:marTop w:val="0"/>
      <w:marBottom w:val="0"/>
      <w:divBdr>
        <w:top w:val="none" w:sz="0" w:space="0" w:color="auto"/>
        <w:left w:val="none" w:sz="0" w:space="0" w:color="auto"/>
        <w:bottom w:val="none" w:sz="0" w:space="0" w:color="auto"/>
        <w:right w:val="none" w:sz="0" w:space="0" w:color="auto"/>
      </w:divBdr>
    </w:div>
    <w:div w:id="1751661182">
      <w:bodyDiv w:val="1"/>
      <w:marLeft w:val="0"/>
      <w:marRight w:val="0"/>
      <w:marTop w:val="0"/>
      <w:marBottom w:val="0"/>
      <w:divBdr>
        <w:top w:val="none" w:sz="0" w:space="0" w:color="auto"/>
        <w:left w:val="none" w:sz="0" w:space="0" w:color="auto"/>
        <w:bottom w:val="none" w:sz="0" w:space="0" w:color="auto"/>
        <w:right w:val="none" w:sz="0" w:space="0" w:color="auto"/>
      </w:divBdr>
    </w:div>
    <w:div w:id="1759132875">
      <w:bodyDiv w:val="1"/>
      <w:marLeft w:val="0"/>
      <w:marRight w:val="0"/>
      <w:marTop w:val="0"/>
      <w:marBottom w:val="0"/>
      <w:divBdr>
        <w:top w:val="none" w:sz="0" w:space="0" w:color="auto"/>
        <w:left w:val="none" w:sz="0" w:space="0" w:color="auto"/>
        <w:bottom w:val="none" w:sz="0" w:space="0" w:color="auto"/>
        <w:right w:val="none" w:sz="0" w:space="0" w:color="auto"/>
      </w:divBdr>
    </w:div>
    <w:div w:id="1773746105">
      <w:bodyDiv w:val="1"/>
      <w:marLeft w:val="0"/>
      <w:marRight w:val="0"/>
      <w:marTop w:val="0"/>
      <w:marBottom w:val="0"/>
      <w:divBdr>
        <w:top w:val="none" w:sz="0" w:space="0" w:color="auto"/>
        <w:left w:val="none" w:sz="0" w:space="0" w:color="auto"/>
        <w:bottom w:val="none" w:sz="0" w:space="0" w:color="auto"/>
        <w:right w:val="none" w:sz="0" w:space="0" w:color="auto"/>
      </w:divBdr>
    </w:div>
    <w:div w:id="1779064188">
      <w:bodyDiv w:val="1"/>
      <w:marLeft w:val="0"/>
      <w:marRight w:val="0"/>
      <w:marTop w:val="0"/>
      <w:marBottom w:val="0"/>
      <w:divBdr>
        <w:top w:val="none" w:sz="0" w:space="0" w:color="auto"/>
        <w:left w:val="none" w:sz="0" w:space="0" w:color="auto"/>
        <w:bottom w:val="none" w:sz="0" w:space="0" w:color="auto"/>
        <w:right w:val="none" w:sz="0" w:space="0" w:color="auto"/>
      </w:divBdr>
    </w:div>
    <w:div w:id="1795126430">
      <w:bodyDiv w:val="1"/>
      <w:marLeft w:val="0"/>
      <w:marRight w:val="0"/>
      <w:marTop w:val="0"/>
      <w:marBottom w:val="0"/>
      <w:divBdr>
        <w:top w:val="none" w:sz="0" w:space="0" w:color="auto"/>
        <w:left w:val="none" w:sz="0" w:space="0" w:color="auto"/>
        <w:bottom w:val="none" w:sz="0" w:space="0" w:color="auto"/>
        <w:right w:val="none" w:sz="0" w:space="0" w:color="auto"/>
      </w:divBdr>
    </w:div>
    <w:div w:id="1796871521">
      <w:bodyDiv w:val="1"/>
      <w:marLeft w:val="0"/>
      <w:marRight w:val="0"/>
      <w:marTop w:val="0"/>
      <w:marBottom w:val="0"/>
      <w:divBdr>
        <w:top w:val="none" w:sz="0" w:space="0" w:color="auto"/>
        <w:left w:val="none" w:sz="0" w:space="0" w:color="auto"/>
        <w:bottom w:val="none" w:sz="0" w:space="0" w:color="auto"/>
        <w:right w:val="none" w:sz="0" w:space="0" w:color="auto"/>
      </w:divBdr>
    </w:div>
    <w:div w:id="1798063902">
      <w:bodyDiv w:val="1"/>
      <w:marLeft w:val="0"/>
      <w:marRight w:val="0"/>
      <w:marTop w:val="0"/>
      <w:marBottom w:val="0"/>
      <w:divBdr>
        <w:top w:val="none" w:sz="0" w:space="0" w:color="auto"/>
        <w:left w:val="none" w:sz="0" w:space="0" w:color="auto"/>
        <w:bottom w:val="none" w:sz="0" w:space="0" w:color="auto"/>
        <w:right w:val="none" w:sz="0" w:space="0" w:color="auto"/>
      </w:divBdr>
    </w:div>
    <w:div w:id="1800147974">
      <w:bodyDiv w:val="1"/>
      <w:marLeft w:val="0"/>
      <w:marRight w:val="0"/>
      <w:marTop w:val="0"/>
      <w:marBottom w:val="0"/>
      <w:divBdr>
        <w:top w:val="none" w:sz="0" w:space="0" w:color="auto"/>
        <w:left w:val="none" w:sz="0" w:space="0" w:color="auto"/>
        <w:bottom w:val="none" w:sz="0" w:space="0" w:color="auto"/>
        <w:right w:val="none" w:sz="0" w:space="0" w:color="auto"/>
      </w:divBdr>
    </w:div>
    <w:div w:id="1815760099">
      <w:bodyDiv w:val="1"/>
      <w:marLeft w:val="0"/>
      <w:marRight w:val="0"/>
      <w:marTop w:val="0"/>
      <w:marBottom w:val="0"/>
      <w:divBdr>
        <w:top w:val="none" w:sz="0" w:space="0" w:color="auto"/>
        <w:left w:val="none" w:sz="0" w:space="0" w:color="auto"/>
        <w:bottom w:val="none" w:sz="0" w:space="0" w:color="auto"/>
        <w:right w:val="none" w:sz="0" w:space="0" w:color="auto"/>
      </w:divBdr>
    </w:div>
    <w:div w:id="1843547160">
      <w:bodyDiv w:val="1"/>
      <w:marLeft w:val="0"/>
      <w:marRight w:val="0"/>
      <w:marTop w:val="0"/>
      <w:marBottom w:val="0"/>
      <w:divBdr>
        <w:top w:val="none" w:sz="0" w:space="0" w:color="auto"/>
        <w:left w:val="none" w:sz="0" w:space="0" w:color="auto"/>
        <w:bottom w:val="none" w:sz="0" w:space="0" w:color="auto"/>
        <w:right w:val="none" w:sz="0" w:space="0" w:color="auto"/>
      </w:divBdr>
    </w:div>
    <w:div w:id="1843668486">
      <w:bodyDiv w:val="1"/>
      <w:marLeft w:val="0"/>
      <w:marRight w:val="0"/>
      <w:marTop w:val="0"/>
      <w:marBottom w:val="0"/>
      <w:divBdr>
        <w:top w:val="none" w:sz="0" w:space="0" w:color="auto"/>
        <w:left w:val="none" w:sz="0" w:space="0" w:color="auto"/>
        <w:bottom w:val="none" w:sz="0" w:space="0" w:color="auto"/>
        <w:right w:val="none" w:sz="0" w:space="0" w:color="auto"/>
      </w:divBdr>
    </w:div>
    <w:div w:id="1848252615">
      <w:bodyDiv w:val="1"/>
      <w:marLeft w:val="0"/>
      <w:marRight w:val="0"/>
      <w:marTop w:val="0"/>
      <w:marBottom w:val="0"/>
      <w:divBdr>
        <w:top w:val="none" w:sz="0" w:space="0" w:color="auto"/>
        <w:left w:val="none" w:sz="0" w:space="0" w:color="auto"/>
        <w:bottom w:val="none" w:sz="0" w:space="0" w:color="auto"/>
        <w:right w:val="none" w:sz="0" w:space="0" w:color="auto"/>
      </w:divBdr>
    </w:div>
    <w:div w:id="1851993323">
      <w:bodyDiv w:val="1"/>
      <w:marLeft w:val="0"/>
      <w:marRight w:val="0"/>
      <w:marTop w:val="0"/>
      <w:marBottom w:val="0"/>
      <w:divBdr>
        <w:top w:val="none" w:sz="0" w:space="0" w:color="auto"/>
        <w:left w:val="none" w:sz="0" w:space="0" w:color="auto"/>
        <w:bottom w:val="none" w:sz="0" w:space="0" w:color="auto"/>
        <w:right w:val="none" w:sz="0" w:space="0" w:color="auto"/>
      </w:divBdr>
    </w:div>
    <w:div w:id="1853032700">
      <w:bodyDiv w:val="1"/>
      <w:marLeft w:val="0"/>
      <w:marRight w:val="0"/>
      <w:marTop w:val="0"/>
      <w:marBottom w:val="0"/>
      <w:divBdr>
        <w:top w:val="none" w:sz="0" w:space="0" w:color="auto"/>
        <w:left w:val="none" w:sz="0" w:space="0" w:color="auto"/>
        <w:bottom w:val="none" w:sz="0" w:space="0" w:color="auto"/>
        <w:right w:val="none" w:sz="0" w:space="0" w:color="auto"/>
      </w:divBdr>
    </w:div>
    <w:div w:id="1859419150">
      <w:bodyDiv w:val="1"/>
      <w:marLeft w:val="0"/>
      <w:marRight w:val="0"/>
      <w:marTop w:val="0"/>
      <w:marBottom w:val="0"/>
      <w:divBdr>
        <w:top w:val="none" w:sz="0" w:space="0" w:color="auto"/>
        <w:left w:val="none" w:sz="0" w:space="0" w:color="auto"/>
        <w:bottom w:val="none" w:sz="0" w:space="0" w:color="auto"/>
        <w:right w:val="none" w:sz="0" w:space="0" w:color="auto"/>
      </w:divBdr>
    </w:div>
    <w:div w:id="1878355013">
      <w:bodyDiv w:val="1"/>
      <w:marLeft w:val="0"/>
      <w:marRight w:val="0"/>
      <w:marTop w:val="0"/>
      <w:marBottom w:val="0"/>
      <w:divBdr>
        <w:top w:val="none" w:sz="0" w:space="0" w:color="auto"/>
        <w:left w:val="none" w:sz="0" w:space="0" w:color="auto"/>
        <w:bottom w:val="none" w:sz="0" w:space="0" w:color="auto"/>
        <w:right w:val="none" w:sz="0" w:space="0" w:color="auto"/>
      </w:divBdr>
    </w:div>
    <w:div w:id="1885365754">
      <w:bodyDiv w:val="1"/>
      <w:marLeft w:val="0"/>
      <w:marRight w:val="0"/>
      <w:marTop w:val="0"/>
      <w:marBottom w:val="0"/>
      <w:divBdr>
        <w:top w:val="none" w:sz="0" w:space="0" w:color="auto"/>
        <w:left w:val="none" w:sz="0" w:space="0" w:color="auto"/>
        <w:bottom w:val="none" w:sz="0" w:space="0" w:color="auto"/>
        <w:right w:val="none" w:sz="0" w:space="0" w:color="auto"/>
      </w:divBdr>
    </w:div>
    <w:div w:id="1886061016">
      <w:bodyDiv w:val="1"/>
      <w:marLeft w:val="0"/>
      <w:marRight w:val="0"/>
      <w:marTop w:val="0"/>
      <w:marBottom w:val="0"/>
      <w:divBdr>
        <w:top w:val="none" w:sz="0" w:space="0" w:color="auto"/>
        <w:left w:val="none" w:sz="0" w:space="0" w:color="auto"/>
        <w:bottom w:val="none" w:sz="0" w:space="0" w:color="auto"/>
        <w:right w:val="none" w:sz="0" w:space="0" w:color="auto"/>
      </w:divBdr>
    </w:div>
    <w:div w:id="1897814677">
      <w:bodyDiv w:val="1"/>
      <w:marLeft w:val="0"/>
      <w:marRight w:val="0"/>
      <w:marTop w:val="0"/>
      <w:marBottom w:val="0"/>
      <w:divBdr>
        <w:top w:val="none" w:sz="0" w:space="0" w:color="auto"/>
        <w:left w:val="none" w:sz="0" w:space="0" w:color="auto"/>
        <w:bottom w:val="none" w:sz="0" w:space="0" w:color="auto"/>
        <w:right w:val="none" w:sz="0" w:space="0" w:color="auto"/>
      </w:divBdr>
    </w:div>
    <w:div w:id="1899827752">
      <w:bodyDiv w:val="1"/>
      <w:marLeft w:val="0"/>
      <w:marRight w:val="0"/>
      <w:marTop w:val="0"/>
      <w:marBottom w:val="0"/>
      <w:divBdr>
        <w:top w:val="none" w:sz="0" w:space="0" w:color="auto"/>
        <w:left w:val="none" w:sz="0" w:space="0" w:color="auto"/>
        <w:bottom w:val="none" w:sz="0" w:space="0" w:color="auto"/>
        <w:right w:val="none" w:sz="0" w:space="0" w:color="auto"/>
      </w:divBdr>
    </w:div>
    <w:div w:id="1907032759">
      <w:bodyDiv w:val="1"/>
      <w:marLeft w:val="0"/>
      <w:marRight w:val="0"/>
      <w:marTop w:val="0"/>
      <w:marBottom w:val="0"/>
      <w:divBdr>
        <w:top w:val="none" w:sz="0" w:space="0" w:color="auto"/>
        <w:left w:val="none" w:sz="0" w:space="0" w:color="auto"/>
        <w:bottom w:val="none" w:sz="0" w:space="0" w:color="auto"/>
        <w:right w:val="none" w:sz="0" w:space="0" w:color="auto"/>
      </w:divBdr>
    </w:div>
    <w:div w:id="1973367787">
      <w:bodyDiv w:val="1"/>
      <w:marLeft w:val="0"/>
      <w:marRight w:val="0"/>
      <w:marTop w:val="0"/>
      <w:marBottom w:val="0"/>
      <w:divBdr>
        <w:top w:val="none" w:sz="0" w:space="0" w:color="auto"/>
        <w:left w:val="none" w:sz="0" w:space="0" w:color="auto"/>
        <w:bottom w:val="none" w:sz="0" w:space="0" w:color="auto"/>
        <w:right w:val="none" w:sz="0" w:space="0" w:color="auto"/>
      </w:divBdr>
    </w:div>
    <w:div w:id="1993018834">
      <w:bodyDiv w:val="1"/>
      <w:marLeft w:val="0"/>
      <w:marRight w:val="0"/>
      <w:marTop w:val="0"/>
      <w:marBottom w:val="0"/>
      <w:divBdr>
        <w:top w:val="none" w:sz="0" w:space="0" w:color="auto"/>
        <w:left w:val="none" w:sz="0" w:space="0" w:color="auto"/>
        <w:bottom w:val="none" w:sz="0" w:space="0" w:color="auto"/>
        <w:right w:val="none" w:sz="0" w:space="0" w:color="auto"/>
      </w:divBdr>
    </w:div>
    <w:div w:id="2001035816">
      <w:bodyDiv w:val="1"/>
      <w:marLeft w:val="0"/>
      <w:marRight w:val="0"/>
      <w:marTop w:val="0"/>
      <w:marBottom w:val="0"/>
      <w:divBdr>
        <w:top w:val="none" w:sz="0" w:space="0" w:color="auto"/>
        <w:left w:val="none" w:sz="0" w:space="0" w:color="auto"/>
        <w:bottom w:val="none" w:sz="0" w:space="0" w:color="auto"/>
        <w:right w:val="none" w:sz="0" w:space="0" w:color="auto"/>
      </w:divBdr>
    </w:div>
    <w:div w:id="2010256239">
      <w:bodyDiv w:val="1"/>
      <w:marLeft w:val="0"/>
      <w:marRight w:val="0"/>
      <w:marTop w:val="0"/>
      <w:marBottom w:val="0"/>
      <w:divBdr>
        <w:top w:val="none" w:sz="0" w:space="0" w:color="auto"/>
        <w:left w:val="none" w:sz="0" w:space="0" w:color="auto"/>
        <w:bottom w:val="none" w:sz="0" w:space="0" w:color="auto"/>
        <w:right w:val="none" w:sz="0" w:space="0" w:color="auto"/>
      </w:divBdr>
    </w:div>
    <w:div w:id="2012947398">
      <w:bodyDiv w:val="1"/>
      <w:marLeft w:val="0"/>
      <w:marRight w:val="0"/>
      <w:marTop w:val="0"/>
      <w:marBottom w:val="0"/>
      <w:divBdr>
        <w:top w:val="none" w:sz="0" w:space="0" w:color="auto"/>
        <w:left w:val="none" w:sz="0" w:space="0" w:color="auto"/>
        <w:bottom w:val="none" w:sz="0" w:space="0" w:color="auto"/>
        <w:right w:val="none" w:sz="0" w:space="0" w:color="auto"/>
      </w:divBdr>
    </w:div>
    <w:div w:id="2028168546">
      <w:bodyDiv w:val="1"/>
      <w:marLeft w:val="0"/>
      <w:marRight w:val="0"/>
      <w:marTop w:val="0"/>
      <w:marBottom w:val="0"/>
      <w:divBdr>
        <w:top w:val="none" w:sz="0" w:space="0" w:color="auto"/>
        <w:left w:val="none" w:sz="0" w:space="0" w:color="auto"/>
        <w:bottom w:val="none" w:sz="0" w:space="0" w:color="auto"/>
        <w:right w:val="none" w:sz="0" w:space="0" w:color="auto"/>
      </w:divBdr>
    </w:div>
    <w:div w:id="2034259818">
      <w:bodyDiv w:val="1"/>
      <w:marLeft w:val="0"/>
      <w:marRight w:val="0"/>
      <w:marTop w:val="0"/>
      <w:marBottom w:val="0"/>
      <w:divBdr>
        <w:top w:val="none" w:sz="0" w:space="0" w:color="auto"/>
        <w:left w:val="none" w:sz="0" w:space="0" w:color="auto"/>
        <w:bottom w:val="none" w:sz="0" w:space="0" w:color="auto"/>
        <w:right w:val="none" w:sz="0" w:space="0" w:color="auto"/>
      </w:divBdr>
    </w:div>
    <w:div w:id="2034720912">
      <w:bodyDiv w:val="1"/>
      <w:marLeft w:val="0"/>
      <w:marRight w:val="0"/>
      <w:marTop w:val="0"/>
      <w:marBottom w:val="0"/>
      <w:divBdr>
        <w:top w:val="none" w:sz="0" w:space="0" w:color="auto"/>
        <w:left w:val="none" w:sz="0" w:space="0" w:color="auto"/>
        <w:bottom w:val="none" w:sz="0" w:space="0" w:color="auto"/>
        <w:right w:val="none" w:sz="0" w:space="0" w:color="auto"/>
      </w:divBdr>
    </w:div>
    <w:div w:id="2047288581">
      <w:bodyDiv w:val="1"/>
      <w:marLeft w:val="0"/>
      <w:marRight w:val="0"/>
      <w:marTop w:val="0"/>
      <w:marBottom w:val="0"/>
      <w:divBdr>
        <w:top w:val="none" w:sz="0" w:space="0" w:color="auto"/>
        <w:left w:val="none" w:sz="0" w:space="0" w:color="auto"/>
        <w:bottom w:val="none" w:sz="0" w:space="0" w:color="auto"/>
        <w:right w:val="none" w:sz="0" w:space="0" w:color="auto"/>
      </w:divBdr>
    </w:div>
    <w:div w:id="2052874557">
      <w:bodyDiv w:val="1"/>
      <w:marLeft w:val="0"/>
      <w:marRight w:val="0"/>
      <w:marTop w:val="0"/>
      <w:marBottom w:val="0"/>
      <w:divBdr>
        <w:top w:val="none" w:sz="0" w:space="0" w:color="auto"/>
        <w:left w:val="none" w:sz="0" w:space="0" w:color="auto"/>
        <w:bottom w:val="none" w:sz="0" w:space="0" w:color="auto"/>
        <w:right w:val="none" w:sz="0" w:space="0" w:color="auto"/>
      </w:divBdr>
    </w:div>
    <w:div w:id="2068409476">
      <w:bodyDiv w:val="1"/>
      <w:marLeft w:val="0"/>
      <w:marRight w:val="0"/>
      <w:marTop w:val="0"/>
      <w:marBottom w:val="0"/>
      <w:divBdr>
        <w:top w:val="none" w:sz="0" w:space="0" w:color="auto"/>
        <w:left w:val="none" w:sz="0" w:space="0" w:color="auto"/>
        <w:bottom w:val="none" w:sz="0" w:space="0" w:color="auto"/>
        <w:right w:val="none" w:sz="0" w:space="0" w:color="auto"/>
      </w:divBdr>
    </w:div>
    <w:div w:id="2094084056">
      <w:bodyDiv w:val="1"/>
      <w:marLeft w:val="0"/>
      <w:marRight w:val="0"/>
      <w:marTop w:val="0"/>
      <w:marBottom w:val="0"/>
      <w:divBdr>
        <w:top w:val="none" w:sz="0" w:space="0" w:color="auto"/>
        <w:left w:val="none" w:sz="0" w:space="0" w:color="auto"/>
        <w:bottom w:val="none" w:sz="0" w:space="0" w:color="auto"/>
        <w:right w:val="none" w:sz="0" w:space="0" w:color="auto"/>
      </w:divBdr>
    </w:div>
    <w:div w:id="2101826739">
      <w:bodyDiv w:val="1"/>
      <w:marLeft w:val="0"/>
      <w:marRight w:val="0"/>
      <w:marTop w:val="0"/>
      <w:marBottom w:val="0"/>
      <w:divBdr>
        <w:top w:val="none" w:sz="0" w:space="0" w:color="auto"/>
        <w:left w:val="none" w:sz="0" w:space="0" w:color="auto"/>
        <w:bottom w:val="none" w:sz="0" w:space="0" w:color="auto"/>
        <w:right w:val="none" w:sz="0" w:space="0" w:color="auto"/>
      </w:divBdr>
    </w:div>
    <w:div w:id="212495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arltonsquantum.com/gibraltar-virtual-assets-regulation/" TargetMode="External"/><Relationship Id="rId13" Type="http://schemas.openxmlformats.org/officeDocument/2006/relationships/hyperlink" Target="https://www.gibraltarlaws.gov.gi/legislations/proceeds-of-crime-act-2015-transfer-of-virtual-assets-regulations-2021-6003/download" TargetMode="External"/><Relationship Id="rId18" Type="http://schemas.openxmlformats.org/officeDocument/2006/relationships/hyperlink" Target="https://www.gibnew.tech/"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gibraltar.gov.gi/new/sites/default/files/HMGoG_Documents/gambling%20ord%202005.pdf" TargetMode="External"/><Relationship Id="rId7" Type="http://schemas.openxmlformats.org/officeDocument/2006/relationships/endnotes" Target="endnotes.xml"/><Relationship Id="rId12" Type="http://schemas.openxmlformats.org/officeDocument/2006/relationships/hyperlink" Target="https://www.gibraltarlaws.gov.gi/legislations/proceeds-of-crime-act-2015-transfer-of-virtual-assets-regulations-2021-6003/download" TargetMode="External"/><Relationship Id="rId17" Type="http://schemas.openxmlformats.org/officeDocument/2006/relationships/hyperlink" Target="https://www.gibraltarlaws.gov.gi/index.php/legislations/proceeds-of-crime-and-terrorism-amendment-act-2019-4527"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gibraltarlaws.gov.gi/legislations/financial-services-distributed-ledger-technology-providers-regulations-2020-4774" TargetMode="External"/><Relationship Id="rId20" Type="http://schemas.openxmlformats.org/officeDocument/2006/relationships/hyperlink" Target="https://www.gibraltarlaws.gov.gi/legislations/financial-services-investment-and-fiduciary-services-act-509"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tf-gafi.org/en/home.html" TargetMode="External"/><Relationship Id="rId24" Type="http://schemas.openxmlformats.org/officeDocument/2006/relationships/hyperlink" Target="https://insolvency-insider.co.uk/p/miracle-world-ventures-limited-liquidation"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fsc.gi/FSC/distributed-ledger-technology-providers" TargetMode="External"/><Relationship Id="rId23" Type="http://schemas.openxmlformats.org/officeDocument/2006/relationships/hyperlink" Target="https://www.offshorealert.com/gibraltar-accountant-karel-manasco-has-assets-frozen-for-allegedly-swindling-former-employer-mansion-online-gaming-group/" TargetMode="External"/><Relationship Id="rId28" Type="http://schemas.openxmlformats.org/officeDocument/2006/relationships/footer" Target="footer2.xml"/><Relationship Id="rId10" Type="http://schemas.openxmlformats.org/officeDocument/2006/relationships/hyperlink" Target="https://www.gibraltarlaws.gov.gi/legislations/financial-services-act-2019-4690" TargetMode="External"/><Relationship Id="rId19" Type="http://schemas.openxmlformats.org/officeDocument/2006/relationships/hyperlink" Target="https://www.gibraltarlaws.gov.gi/legislations/proceeds-of-crime-act-2015-transfer-of-virtual-assets-regulations-2021-6003/download"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sc.gi/" TargetMode="External"/><Relationship Id="rId14" Type="http://schemas.openxmlformats.org/officeDocument/2006/relationships/hyperlink" Target="https://www.gibraltarfinance.gi/technology/distributed-ledger-technology" TargetMode="External"/><Relationship Id="rId22" Type="http://schemas.openxmlformats.org/officeDocument/2006/relationships/hyperlink" Target="https://www.globaleconomyedition.com/gibraltar-court-freezes-crypto-assets-in-hunt-for-missing-43mn/"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D1628-D86D-44B5-9E3C-0FDF1DDE0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18</Pages>
  <Words>7234</Words>
  <Characters>41234</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48372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Charlton</dc:creator>
  <cp:lastModifiedBy>Theresa Joy Lacatan</cp:lastModifiedBy>
  <cp:revision>130</cp:revision>
  <dcterms:created xsi:type="dcterms:W3CDTF">2024-08-04T23:12:00Z</dcterms:created>
  <dcterms:modified xsi:type="dcterms:W3CDTF">2025-04-11T03:03:00Z</dcterms:modified>
</cp:coreProperties>
</file>