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592C0C96"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631E57">
        <w:rPr>
          <w:rFonts w:ascii="Arial" w:eastAsia="Cambria" w:hAnsi="Arial" w:cs="Arial"/>
          <w:color w:val="FFFFFF"/>
          <w:lang w:val="en-GB"/>
        </w:rPr>
        <w:t>4</w:t>
      </w:r>
      <w:r w:rsidR="00E85962">
        <w:rPr>
          <w:rFonts w:ascii="Arial" w:eastAsia="Cambria" w:hAnsi="Arial" w:cs="Arial"/>
          <w:color w:val="FFFFFF"/>
          <w:lang w:val="en-GB"/>
        </w:rPr>
        <w:t>7</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B70E42">
        <w:rPr>
          <w:rFonts w:ascii="Arial" w:eastAsia="Cambria" w:hAnsi="Arial" w:cs="Arial"/>
          <w:color w:val="FFFFFF"/>
          <w:lang w:val="en-GB"/>
        </w:rPr>
        <w:t>May</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0017FA69"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D65FF3">
        <w:rPr>
          <w:rFonts w:ascii="Arial" w:eastAsia="Cambria" w:hAnsi="Arial" w:cs="Arial"/>
          <w:sz w:val="28"/>
          <w:szCs w:val="24"/>
          <w:lang w:val="en-GB"/>
        </w:rPr>
        <w:instrText>HYPERLINK "https://charltonsquantum.com/quantum-updates-47-us-sec-extends-bitwise-crypto-index-fund-deadline-july-2025/"</w:instrText>
      </w:r>
      <w:r w:rsidR="00D65FF3">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333A5CDD" w14:textId="77777777" w:rsidR="00EC4C57" w:rsidRPr="00EC4C57" w:rsidRDefault="00EC4C57" w:rsidP="00025A76">
      <w:pPr>
        <w:rPr>
          <w:b/>
          <w:bCs/>
          <w:color w:val="FF6E00"/>
          <w:lang w:val="en-PH"/>
        </w:rPr>
      </w:pPr>
      <w:r w:rsidRPr="00EC4C57">
        <w:rPr>
          <w:b/>
          <w:bCs/>
          <w:color w:val="FF6E00"/>
          <w:lang w:val="en-PH"/>
        </w:rPr>
        <w:t>US SEC Extends Deadline on Bitwise 10 Crypto Index Fund: Compliance Stakes for Framework for Commodity- and Digital Asset-Based Investment Interests till 31 July 2025</w:t>
      </w:r>
    </w:p>
    <w:p w14:paraId="3393E7D0" w14:textId="77777777" w:rsidR="00EC4C57" w:rsidRPr="00EC4C57" w:rsidRDefault="00EC4C57" w:rsidP="00EC4C57">
      <w:pPr>
        <w:jc w:val="both"/>
        <w:rPr>
          <w:rFonts w:eastAsia="Times New Roman"/>
          <w:bCs/>
          <w:lang w:val="en-PH"/>
        </w:rPr>
      </w:pPr>
      <w:r w:rsidRPr="00EC4C57">
        <w:rPr>
          <w:rFonts w:eastAsia="Times New Roman"/>
          <w:bCs/>
          <w:lang w:val="en-PH"/>
        </w:rPr>
        <w:t>On 28 May 2025, the United States Securities and Exchange Commission (</w:t>
      </w:r>
      <w:r w:rsidRPr="00EC4C57">
        <w:rPr>
          <w:rFonts w:eastAsia="Times New Roman"/>
          <w:b/>
          <w:bCs/>
          <w:lang w:val="en-PH"/>
        </w:rPr>
        <w:t>US SEC</w:t>
      </w:r>
      <w:r w:rsidRPr="00EC4C57">
        <w:rPr>
          <w:rFonts w:eastAsia="Times New Roman"/>
          <w:bCs/>
          <w:lang w:val="en-PH"/>
        </w:rPr>
        <w:t>) published a </w:t>
      </w:r>
      <w:hyperlink r:id="rId6" w:tgtFrame="_blank" w:history="1">
        <w:r w:rsidRPr="00EC4C57">
          <w:rPr>
            <w:rStyle w:val="Hyperlink"/>
            <w:rFonts w:eastAsia="Times New Roman"/>
            <w:bCs/>
            <w:color w:val="FF6E00"/>
            <w:u w:val="none"/>
            <w:lang w:val="en-PH"/>
          </w:rPr>
          <w:t>Notice of Designation of Longer Period</w:t>
        </w:r>
      </w:hyperlink>
      <w:r w:rsidRPr="00EC4C57">
        <w:rPr>
          <w:rFonts w:eastAsia="Times New Roman"/>
          <w:bCs/>
          <w:lang w:val="en-PH"/>
        </w:rPr>
        <w:t> for further action on proceedings to determine whether to approve or disapprove a proposed rule change to list and trade shares of the bitwise 10 crypto index fund under proposed nyse arca rule 8.800-e (commodity- and/or digital asset-based investment interests) and announced that it has extended the review period for a proposed rule change by NYSE Arca, Inc. to list and trade shares of the Bitwise 10 Crypto Index Fund. The final decision has now been deferred to 31 July 2025. Now US SEC has more time to evaluate the legal, regulatory, and market impact of this landmark crypto-index ETF.</w:t>
      </w:r>
    </w:p>
    <w:p w14:paraId="4C30EF6D" w14:textId="77777777" w:rsidR="00EC4C57" w:rsidRPr="00EC4C57" w:rsidRDefault="00EC4C57" w:rsidP="00EC4C57">
      <w:pPr>
        <w:jc w:val="both"/>
        <w:rPr>
          <w:rFonts w:eastAsia="Times New Roman"/>
          <w:bCs/>
          <w:lang w:val="en-PH"/>
        </w:rPr>
      </w:pPr>
      <w:r w:rsidRPr="00EC4C57">
        <w:rPr>
          <w:rFonts w:eastAsia="Times New Roman"/>
          <w:bCs/>
          <w:lang w:val="en-PH"/>
        </w:rPr>
        <w:t>The proposal filed by NYSE Arca on 14 November 2024 seeks approval to list a crypto-based investment product under the newly proposed NYSE Arca Rule 8.800-E, which provides a framework for commodity- and digital asset-based investment interests. The Bitwise 10 Crypto Index Fund aims to track the performance of the ten largest cryptoassets by market capitalisation, offering regulated access to a diversified crypto basket.</w:t>
      </w:r>
    </w:p>
    <w:p w14:paraId="0C5E12C6" w14:textId="77777777" w:rsidR="00EC4C57" w:rsidRPr="00EC4C57" w:rsidRDefault="00EC4C57" w:rsidP="00EC4C57">
      <w:pPr>
        <w:jc w:val="both"/>
        <w:rPr>
          <w:rFonts w:eastAsia="Times New Roman"/>
          <w:bCs/>
          <w:lang w:val="en-PH"/>
        </w:rPr>
      </w:pPr>
      <w:r w:rsidRPr="00EC4C57">
        <w:rPr>
          <w:rFonts w:eastAsia="Times New Roman"/>
          <w:bCs/>
          <w:lang w:val="en-PH"/>
        </w:rPr>
        <w:t>This application is being seen as a litmus test for how the US SEC handles multi-asset digital funds and whether the regulatory architecture is ready to support more sophisticated crypto financial products. If approved, it could open the door to a broader class of regulated crypto investment vehicles in the United States.</w:t>
      </w:r>
    </w:p>
    <w:p w14:paraId="1002F82B" w14:textId="77777777" w:rsidR="00EC4C57" w:rsidRPr="00EC4C57" w:rsidRDefault="00EC4C57" w:rsidP="00EC4C57">
      <w:pPr>
        <w:jc w:val="both"/>
        <w:rPr>
          <w:rFonts w:eastAsia="Times New Roman"/>
          <w:bCs/>
          <w:u w:val="single"/>
          <w:lang w:val="en-PH"/>
        </w:rPr>
      </w:pPr>
      <w:r w:rsidRPr="00EC4C57">
        <w:rPr>
          <w:rFonts w:eastAsia="Times New Roman"/>
          <w:b/>
          <w:bCs/>
          <w:u w:val="single"/>
          <w:lang w:val="en-PH"/>
        </w:rPr>
        <w:t>Timeline of events</w:t>
      </w:r>
    </w:p>
    <w:p w14:paraId="5CF752F9" w14:textId="77777777" w:rsidR="00EC4C57" w:rsidRPr="00EC4C57" w:rsidRDefault="00EC4C57" w:rsidP="00EC4C57">
      <w:pPr>
        <w:numPr>
          <w:ilvl w:val="0"/>
          <w:numId w:val="89"/>
        </w:numPr>
        <w:jc w:val="both"/>
        <w:rPr>
          <w:rFonts w:eastAsia="Times New Roman"/>
          <w:bCs/>
          <w:lang w:val="en-PH"/>
        </w:rPr>
      </w:pPr>
      <w:r w:rsidRPr="00EC4C57">
        <w:rPr>
          <w:rFonts w:eastAsia="Times New Roman"/>
          <w:bCs/>
          <w:lang w:val="en-PH"/>
        </w:rPr>
        <w:t>On 14 November 2024, Proposal filed by NYSE Arca with the US SEC (SR-NYSEARCA-2024-98).</w:t>
      </w:r>
    </w:p>
    <w:p w14:paraId="173713FE" w14:textId="77777777" w:rsidR="00EC4C57" w:rsidRPr="00EC4C57" w:rsidRDefault="00EC4C57" w:rsidP="00EC4C57">
      <w:pPr>
        <w:numPr>
          <w:ilvl w:val="0"/>
          <w:numId w:val="89"/>
        </w:numPr>
        <w:jc w:val="both"/>
        <w:rPr>
          <w:rFonts w:eastAsia="Times New Roman"/>
          <w:bCs/>
          <w:lang w:val="en-PH"/>
        </w:rPr>
      </w:pPr>
      <w:r w:rsidRPr="00EC4C57">
        <w:rPr>
          <w:rFonts w:eastAsia="Times New Roman"/>
          <w:bCs/>
          <w:lang w:val="en-PH"/>
        </w:rPr>
        <w:t>On 03 December 2024, Proposal published in the </w:t>
      </w:r>
      <w:r w:rsidRPr="00EC4C57">
        <w:rPr>
          <w:rFonts w:eastAsia="Times New Roman"/>
          <w:bCs/>
          <w:i/>
          <w:iCs/>
          <w:lang w:val="en-PH"/>
        </w:rPr>
        <w:t>Federal Register</w:t>
      </w:r>
      <w:r w:rsidRPr="00EC4C57">
        <w:rPr>
          <w:rFonts w:eastAsia="Times New Roman"/>
          <w:bCs/>
          <w:lang w:val="en-PH"/>
        </w:rPr>
        <w:t> for public comment (Release No. 101775).</w:t>
      </w:r>
    </w:p>
    <w:p w14:paraId="3706C294" w14:textId="77777777" w:rsidR="00EC4C57" w:rsidRPr="00EC4C57" w:rsidRDefault="00EC4C57" w:rsidP="00EC4C57">
      <w:pPr>
        <w:numPr>
          <w:ilvl w:val="0"/>
          <w:numId w:val="89"/>
        </w:numPr>
        <w:jc w:val="both"/>
        <w:rPr>
          <w:rFonts w:eastAsia="Times New Roman"/>
          <w:bCs/>
          <w:lang w:val="en-PH"/>
        </w:rPr>
      </w:pPr>
      <w:r w:rsidRPr="00EC4C57">
        <w:rPr>
          <w:rFonts w:eastAsia="Times New Roman"/>
          <w:bCs/>
          <w:lang w:val="en-PH"/>
        </w:rPr>
        <w:t>14 January 2025, US SEC extends the decision period to 3 March 2025 (Release No. 102186).</w:t>
      </w:r>
    </w:p>
    <w:p w14:paraId="1963704D" w14:textId="77777777" w:rsidR="00EC4C57" w:rsidRPr="00EC4C57" w:rsidRDefault="00EC4C57" w:rsidP="00EC4C57">
      <w:pPr>
        <w:numPr>
          <w:ilvl w:val="0"/>
          <w:numId w:val="89"/>
        </w:numPr>
        <w:jc w:val="both"/>
        <w:rPr>
          <w:rFonts w:eastAsia="Times New Roman"/>
          <w:bCs/>
          <w:lang w:val="en-PH"/>
        </w:rPr>
      </w:pPr>
      <w:r w:rsidRPr="00EC4C57">
        <w:rPr>
          <w:rFonts w:eastAsia="Times New Roman"/>
          <w:bCs/>
          <w:lang w:val="en-PH"/>
        </w:rPr>
        <w:t>On 3 March 2025, proceedings formally initiated under Section 19(b)(2)(B) of the US Exchange Act.</w:t>
      </w:r>
    </w:p>
    <w:p w14:paraId="16D7E6DC" w14:textId="77777777" w:rsidR="00EC4C57" w:rsidRPr="00EC4C57" w:rsidRDefault="00EC4C57" w:rsidP="00EC4C57">
      <w:pPr>
        <w:numPr>
          <w:ilvl w:val="0"/>
          <w:numId w:val="89"/>
        </w:numPr>
        <w:jc w:val="both"/>
        <w:rPr>
          <w:rFonts w:eastAsia="Times New Roman"/>
          <w:bCs/>
          <w:lang w:val="en-PH"/>
        </w:rPr>
      </w:pPr>
      <w:r w:rsidRPr="00EC4C57">
        <w:rPr>
          <w:rFonts w:eastAsia="Times New Roman"/>
          <w:bCs/>
          <w:lang w:val="en-PH"/>
        </w:rPr>
        <w:t>On 7 March 2025, US SEC published additional notice of proceedings (Release No. 102514).</w:t>
      </w:r>
    </w:p>
    <w:p w14:paraId="73C031D4" w14:textId="77777777" w:rsidR="00EC4C57" w:rsidRPr="00EC4C57" w:rsidRDefault="00EC4C57" w:rsidP="00EC4C57">
      <w:pPr>
        <w:numPr>
          <w:ilvl w:val="0"/>
          <w:numId w:val="89"/>
        </w:numPr>
        <w:jc w:val="both"/>
        <w:rPr>
          <w:rFonts w:eastAsia="Times New Roman"/>
          <w:bCs/>
          <w:lang w:val="en-PH"/>
        </w:rPr>
      </w:pPr>
      <w:r w:rsidRPr="00EC4C57">
        <w:rPr>
          <w:rFonts w:eastAsia="Times New Roman"/>
          <w:bCs/>
          <w:lang w:val="en-PH"/>
        </w:rPr>
        <w:t>On 28 May 2025, final deadline extended to 31.07.2025 (Release No. 34-103140).</w:t>
      </w:r>
    </w:p>
    <w:p w14:paraId="2F447CCA" w14:textId="77777777" w:rsidR="00EC4C57" w:rsidRPr="00EC4C57" w:rsidRDefault="00EC4C57" w:rsidP="00EC4C57">
      <w:pPr>
        <w:jc w:val="both"/>
        <w:rPr>
          <w:rFonts w:eastAsia="Times New Roman"/>
          <w:bCs/>
          <w:lang w:val="en-PH"/>
        </w:rPr>
      </w:pPr>
      <w:r w:rsidRPr="00EC4C57">
        <w:rPr>
          <w:rFonts w:eastAsia="Times New Roman"/>
          <w:bCs/>
          <w:lang w:val="en-PH"/>
        </w:rPr>
        <w:t>The proposal is being evaluated under Section 19(b)(2) of the US Securities Exchange Act of 1934 (15 U.S.C. 78s(b)(2)) and Rule 19b-4 (17 CFR 240.19b-4). It would fall within the framework of NYSE Arca’s proposed Rule 8.800-E, which is designed specifically for listing digital asset-based investment vehicles.</w:t>
      </w:r>
    </w:p>
    <w:p w14:paraId="71742513" w14:textId="77777777" w:rsidR="00EC4C57" w:rsidRPr="00EC4C57" w:rsidRDefault="00EC4C57" w:rsidP="00EC4C57">
      <w:pPr>
        <w:jc w:val="both"/>
        <w:rPr>
          <w:rFonts w:eastAsia="Times New Roman"/>
          <w:bCs/>
          <w:lang w:val="en-PH"/>
        </w:rPr>
      </w:pPr>
      <w:r w:rsidRPr="00EC4C57">
        <w:rPr>
          <w:rFonts w:eastAsia="Times New Roman"/>
          <w:bCs/>
          <w:lang w:val="en-PH"/>
        </w:rPr>
        <w:t>Approval would expand the scope of permissible exchange-traded products (</w:t>
      </w:r>
      <w:r w:rsidRPr="00EC4C57">
        <w:rPr>
          <w:rFonts w:eastAsia="Times New Roman"/>
          <w:b/>
          <w:bCs/>
          <w:lang w:val="en-PH"/>
        </w:rPr>
        <w:t>ETPs</w:t>
      </w:r>
      <w:r w:rsidRPr="00EC4C57">
        <w:rPr>
          <w:rFonts w:eastAsia="Times New Roman"/>
          <w:bCs/>
          <w:lang w:val="en-PH"/>
        </w:rPr>
        <w:t xml:space="preserve">) linked to cryptoassets. It would also influence how custodians, fund managers, and </w:t>
      </w:r>
      <w:proofErr w:type="gramStart"/>
      <w:r w:rsidRPr="00EC4C57">
        <w:rPr>
          <w:rFonts w:eastAsia="Times New Roman"/>
          <w:bCs/>
          <w:lang w:val="en-PH"/>
        </w:rPr>
        <w:t>exchanges</w:t>
      </w:r>
      <w:proofErr w:type="gramEnd"/>
      <w:r w:rsidRPr="00EC4C57">
        <w:rPr>
          <w:rFonts w:eastAsia="Times New Roman"/>
          <w:bCs/>
          <w:lang w:val="en-PH"/>
        </w:rPr>
        <w:t xml:space="preserve"> structure future crypto ETFs and </w:t>
      </w:r>
      <w:r w:rsidRPr="00EC4C57">
        <w:rPr>
          <w:rFonts w:eastAsia="Times New Roman"/>
          <w:bCs/>
          <w:lang w:val="en-PH"/>
        </w:rPr>
        <w:lastRenderedPageBreak/>
        <w:t>comply with federal securities laws. The US SEC’s eventual ruling will signal the agency’s expectations for how digital asset ETFs must be structured, governed, and disclosed. Some of the compliance angles include:</w:t>
      </w:r>
    </w:p>
    <w:p w14:paraId="0FBF45FD" w14:textId="77777777" w:rsidR="00EC4C57" w:rsidRPr="00EC4C57" w:rsidRDefault="00EC4C57" w:rsidP="00EC4C57">
      <w:pPr>
        <w:numPr>
          <w:ilvl w:val="0"/>
          <w:numId w:val="90"/>
        </w:numPr>
        <w:jc w:val="both"/>
        <w:rPr>
          <w:rFonts w:eastAsia="Times New Roman"/>
          <w:bCs/>
          <w:lang w:val="en-PH"/>
        </w:rPr>
      </w:pPr>
      <w:r w:rsidRPr="00EC4C57">
        <w:rPr>
          <w:rFonts w:eastAsia="Times New Roman"/>
          <w:bCs/>
          <w:u w:val="single"/>
          <w:lang w:val="en-PH"/>
        </w:rPr>
        <w:t>Custody Standards:</w:t>
      </w:r>
      <w:r w:rsidRPr="00EC4C57">
        <w:rPr>
          <w:rFonts w:eastAsia="Times New Roman"/>
          <w:bCs/>
          <w:lang w:val="en-PH"/>
        </w:rPr>
        <w:t> Will the fund satisfy the SEC’s concerns around secure and compliant crypto custody arrangements?</w:t>
      </w:r>
    </w:p>
    <w:p w14:paraId="37ECA698" w14:textId="77777777" w:rsidR="00EC4C57" w:rsidRPr="00EC4C57" w:rsidRDefault="00EC4C57" w:rsidP="00EC4C57">
      <w:pPr>
        <w:numPr>
          <w:ilvl w:val="0"/>
          <w:numId w:val="90"/>
        </w:numPr>
        <w:jc w:val="both"/>
        <w:rPr>
          <w:rFonts w:eastAsia="Times New Roman"/>
          <w:bCs/>
          <w:lang w:val="en-PH"/>
        </w:rPr>
      </w:pPr>
      <w:r w:rsidRPr="00EC4C57">
        <w:rPr>
          <w:rFonts w:eastAsia="Times New Roman"/>
          <w:bCs/>
          <w:u w:val="single"/>
          <w:lang w:val="en-PH"/>
        </w:rPr>
        <w:t>Market Integrity:</w:t>
      </w:r>
      <w:r w:rsidRPr="00EC4C57">
        <w:rPr>
          <w:rFonts w:eastAsia="Times New Roman"/>
          <w:bCs/>
          <w:lang w:val="en-PH"/>
        </w:rPr>
        <w:t> Does the fund include sufficient market surveillance and price verification to guard against manipulation?</w:t>
      </w:r>
    </w:p>
    <w:p w14:paraId="0CBFEB17" w14:textId="77777777" w:rsidR="00EC4C57" w:rsidRPr="00EC4C57" w:rsidRDefault="00EC4C57" w:rsidP="00EC4C57">
      <w:pPr>
        <w:numPr>
          <w:ilvl w:val="0"/>
          <w:numId w:val="90"/>
        </w:numPr>
        <w:jc w:val="both"/>
        <w:rPr>
          <w:rFonts w:eastAsia="Times New Roman"/>
          <w:bCs/>
          <w:lang w:val="en-PH"/>
        </w:rPr>
      </w:pPr>
      <w:r w:rsidRPr="00EC4C57">
        <w:rPr>
          <w:rFonts w:eastAsia="Times New Roman"/>
          <w:bCs/>
          <w:u w:val="single"/>
          <w:lang w:val="en-PH"/>
        </w:rPr>
        <w:t>Disclosure Regime:</w:t>
      </w:r>
      <w:r w:rsidRPr="00EC4C57">
        <w:rPr>
          <w:rFonts w:eastAsia="Times New Roman"/>
          <w:bCs/>
          <w:lang w:val="en-PH"/>
        </w:rPr>
        <w:t> What level of transparency is required around fund methodology, asset weightings, liquidity, and risk disclosures?</w:t>
      </w:r>
    </w:p>
    <w:p w14:paraId="39AA8AFA" w14:textId="77777777" w:rsidR="00EC4C57" w:rsidRPr="00EC4C57" w:rsidRDefault="00EC4C57" w:rsidP="00EC4C57">
      <w:pPr>
        <w:numPr>
          <w:ilvl w:val="0"/>
          <w:numId w:val="90"/>
        </w:numPr>
        <w:jc w:val="both"/>
        <w:rPr>
          <w:rFonts w:eastAsia="Times New Roman"/>
          <w:bCs/>
          <w:lang w:val="en-PH"/>
        </w:rPr>
      </w:pPr>
      <w:r w:rsidRPr="00EC4C57">
        <w:rPr>
          <w:rFonts w:eastAsia="Times New Roman"/>
          <w:bCs/>
          <w:u w:val="single"/>
          <w:lang w:val="en-PH"/>
        </w:rPr>
        <w:t>Retail vs. Institutional Access:</w:t>
      </w:r>
      <w:r w:rsidRPr="00EC4C57">
        <w:rPr>
          <w:rFonts w:eastAsia="Times New Roman"/>
          <w:bCs/>
          <w:lang w:val="en-PH"/>
        </w:rPr>
        <w:t> Will investor classification impact how these products are offered and marketed?</w:t>
      </w:r>
    </w:p>
    <w:p w14:paraId="5EA26672" w14:textId="77777777" w:rsidR="00EC4C57" w:rsidRPr="00EC4C57" w:rsidRDefault="00EC4C57" w:rsidP="00EC4C57">
      <w:pPr>
        <w:jc w:val="both"/>
        <w:rPr>
          <w:rFonts w:eastAsia="Times New Roman"/>
          <w:bCs/>
          <w:lang w:val="en-PH"/>
        </w:rPr>
      </w:pPr>
      <w:r w:rsidRPr="00EC4C57">
        <w:rPr>
          <w:rFonts w:eastAsia="Times New Roman"/>
          <w:bCs/>
          <w:lang w:val="en-PH"/>
        </w:rPr>
        <w:t>The approval of the Bitwise 10 Crypto Index Fund would regulate novel class of diversified, regulated crypto investment products which will be accepted into the US mainstream. The proposal is the first of its kind to bundle multiple top cryptoassets into a single exchange, traded fund under an US SEC-compliant structure. Approval of Bitwise 10 crypto index fund would legitimise crypto exposure within retirement portfolios, mutual fund allocations, and institutional strategies. It would also mean regulatory confidence in the integrity of the digital asset markets.</w:t>
      </w:r>
    </w:p>
    <w:p w14:paraId="17410426" w14:textId="77777777" w:rsidR="00EC4C57" w:rsidRPr="00EC4C57" w:rsidRDefault="00EC4C57" w:rsidP="00EC4C57">
      <w:pPr>
        <w:jc w:val="both"/>
        <w:rPr>
          <w:rFonts w:eastAsia="Times New Roman"/>
          <w:bCs/>
          <w:lang w:val="en-PH"/>
        </w:rPr>
      </w:pPr>
      <w:r w:rsidRPr="00EC4C57">
        <w:rPr>
          <w:rFonts w:eastAsia="Times New Roman"/>
          <w:bCs/>
          <w:lang w:val="en-PH"/>
        </w:rPr>
        <w:t>By extending the decision deadline to 31 July 2025, the US SEC has bought itself more time. For crypto businesses and market participants, this is the moment to anticipate regulatory expectations, recalibrate internal policies, and prepare for the legal standards that could define the next wave of digital asset innovation.</w:t>
      </w:r>
    </w:p>
    <w:p w14:paraId="3448EC63" w14:textId="77777777" w:rsidR="00EC4C57" w:rsidRPr="00EC4C57" w:rsidRDefault="00EC4C57" w:rsidP="00EC4C57">
      <w:pPr>
        <w:jc w:val="both"/>
        <w:rPr>
          <w:rFonts w:eastAsia="Times New Roman"/>
          <w:bCs/>
          <w:lang w:val="en-PH"/>
        </w:rPr>
      </w:pPr>
      <w:r w:rsidRPr="00EC4C57">
        <w:rPr>
          <w:rFonts w:eastAsia="Times New Roman"/>
          <w:bCs/>
          <w:i/>
          <w:iCs/>
          <w:lang w:val="en-PH"/>
        </w:rPr>
        <w:t>“The Commission finds it appropriate to designate a longer period within which to issue an order approving or disapproving the proposed rule change so that it has sufficient time to consider the proposed rule change and the issues raised therein.” </w:t>
      </w:r>
      <w:r w:rsidRPr="00EC4C57">
        <w:rPr>
          <w:rFonts w:eastAsia="Times New Roman"/>
          <w:bCs/>
          <w:lang w:val="en-PH"/>
        </w:rPr>
        <w:t>—US SEC.</w:t>
      </w:r>
    </w:p>
    <w:p w14:paraId="6CA16FD9" w14:textId="77777777" w:rsidR="00EC4C57" w:rsidRPr="00EC4C57" w:rsidRDefault="00EC4C57" w:rsidP="00EC4C57">
      <w:pPr>
        <w:jc w:val="both"/>
        <w:rPr>
          <w:rFonts w:eastAsia="Times New Roman"/>
          <w:bCs/>
          <w:lang w:val="en-PH"/>
        </w:rPr>
      </w:pPr>
      <w:r w:rsidRPr="00EC4C57">
        <w:rPr>
          <w:rFonts w:eastAsia="Times New Roman"/>
          <w:bCs/>
          <w:lang w:val="en-PH"/>
        </w:rPr>
        <w:t>The ongoing activities of the US SEC’s Crypto Task Force, including a series of Crypto roundtables are evolving regulatory approach toward digital assets and offer definitive clarity. Additional crypto-focused roundtables are scheduled throughout June.</w:t>
      </w:r>
    </w:p>
    <w:p w14:paraId="084CC887" w14:textId="77777777" w:rsidR="00EC4C57" w:rsidRPr="00EC4C57" w:rsidRDefault="00EC4C57" w:rsidP="00025A76">
      <w:pPr>
        <w:rPr>
          <w:rFonts w:eastAsia="Times New Roman"/>
          <w:bCs/>
          <w:lang w:val="en-PH"/>
        </w:rPr>
      </w:pPr>
      <w:r w:rsidRPr="00EC4C57">
        <w:rPr>
          <w:rFonts w:eastAsia="Times New Roman"/>
          <w:bCs/>
          <w:lang w:val="en-PH"/>
        </w:rPr>
        <w:t>(Source: </w:t>
      </w:r>
      <w:hyperlink r:id="rId7" w:tgtFrame="_blank" w:history="1">
        <w:r w:rsidRPr="00EC4C57">
          <w:rPr>
            <w:rStyle w:val="Hyperlink"/>
            <w:rFonts w:eastAsia="Times New Roman"/>
            <w:bCs/>
            <w:color w:val="FF6E00"/>
            <w:lang w:val="en-PH"/>
          </w:rPr>
          <w:t>https://www.sec.gov/files/rules/sro/nysearca/2025/34-103140.pdf</w:t>
        </w:r>
      </w:hyperlink>
      <w:r w:rsidRPr="00EC4C57">
        <w:rPr>
          <w:rFonts w:eastAsia="Times New Roman"/>
          <w:bCs/>
          <w:lang w:val="en-PH"/>
        </w:rPr>
        <w:t>)</w:t>
      </w:r>
    </w:p>
    <w:p w14:paraId="4CB363D4" w14:textId="77777777" w:rsidR="007A3693" w:rsidRDefault="007A3693" w:rsidP="00707E10">
      <w:pPr>
        <w:jc w:val="both"/>
        <w:rPr>
          <w:rFonts w:eastAsia="Times New Roman"/>
          <w:bCs/>
          <w:lang w:val="en-PH"/>
        </w:rPr>
      </w:pPr>
    </w:p>
    <w:p w14:paraId="60F25EDF" w14:textId="77777777" w:rsidR="004D779B" w:rsidRPr="004D779B" w:rsidRDefault="004D779B" w:rsidP="00025A76">
      <w:pPr>
        <w:rPr>
          <w:b/>
          <w:bCs/>
          <w:color w:val="FF6E00"/>
          <w:lang w:val="en-PH"/>
        </w:rPr>
      </w:pPr>
      <w:r w:rsidRPr="004D779B">
        <w:rPr>
          <w:b/>
          <w:bCs/>
          <w:color w:val="FF6E00"/>
          <w:lang w:val="en-PH"/>
        </w:rPr>
        <w:t>US SEC publishes Order Instituting Proceedings on Grayscale Ethereum Trusts’ Staking Proposal: Regulatory stance on ETF Integration of PoS Mechanics</w:t>
      </w:r>
    </w:p>
    <w:p w14:paraId="2EEF0E6C" w14:textId="77777777" w:rsidR="004D779B" w:rsidRPr="004D779B" w:rsidRDefault="004D779B" w:rsidP="004D779B">
      <w:pPr>
        <w:jc w:val="both"/>
        <w:rPr>
          <w:rFonts w:eastAsia="Times New Roman"/>
          <w:bCs/>
          <w:lang w:val="en-PH"/>
        </w:rPr>
      </w:pPr>
      <w:r w:rsidRPr="004D779B">
        <w:rPr>
          <w:rFonts w:eastAsia="Times New Roman"/>
          <w:bCs/>
          <w:lang w:val="en-PH"/>
        </w:rPr>
        <w:t>On 28 May 2025, the United States Securities and Exchange Commission (</w:t>
      </w:r>
      <w:r w:rsidRPr="004D779B">
        <w:rPr>
          <w:rFonts w:eastAsia="Times New Roman"/>
          <w:b/>
          <w:bCs/>
          <w:lang w:val="en-PH"/>
        </w:rPr>
        <w:t>US SEC</w:t>
      </w:r>
      <w:r w:rsidRPr="004D779B">
        <w:rPr>
          <w:rFonts w:eastAsia="Times New Roman"/>
          <w:bCs/>
          <w:lang w:val="en-PH"/>
        </w:rPr>
        <w:t>) published an </w:t>
      </w:r>
      <w:hyperlink r:id="rId8" w:tgtFrame="_blank" w:history="1">
        <w:r w:rsidRPr="004D779B">
          <w:rPr>
            <w:rStyle w:val="Hyperlink"/>
            <w:rFonts w:eastAsia="Times New Roman"/>
            <w:bCs/>
            <w:color w:val="FF6E00"/>
            <w:u w:val="none"/>
            <w:lang w:val="en-PH"/>
          </w:rPr>
          <w:t>order instituting proceedings</w:t>
        </w:r>
      </w:hyperlink>
      <w:r w:rsidRPr="004D779B">
        <w:rPr>
          <w:rFonts w:eastAsia="Times New Roman"/>
          <w:bCs/>
          <w:lang w:val="en-PH"/>
        </w:rPr>
        <w:t> to determine whether to approve or disapprove a proposed rule change to amend the grayscale ethereum trust etf and grayscale ethereum mini trust etf to permit staking of the ether held by the trusts, which aims to amend the listing conditions for the Grayscale Ethereum Trust ETF and the Grayscale Ethereum Mini Trust ETF to allow staking of Ether held by the Trusts. The proposal aims to integrate Ethereum’s Proof-of-Stake (</w:t>
      </w:r>
      <w:r w:rsidRPr="004D779B">
        <w:rPr>
          <w:rFonts w:eastAsia="Times New Roman"/>
          <w:b/>
          <w:bCs/>
          <w:lang w:val="en-PH"/>
        </w:rPr>
        <w:t>PoS</w:t>
      </w:r>
      <w:r w:rsidRPr="004D779B">
        <w:rPr>
          <w:rFonts w:eastAsia="Times New Roman"/>
          <w:bCs/>
          <w:lang w:val="en-PH"/>
        </w:rPr>
        <w:t>) mechanism into a regulated exchange-traded product structure, which raises novel legal and policy questions under federal securities law.</w:t>
      </w:r>
    </w:p>
    <w:p w14:paraId="24092080" w14:textId="77777777" w:rsidR="004D779B" w:rsidRPr="004D779B" w:rsidRDefault="004D779B" w:rsidP="004D779B">
      <w:pPr>
        <w:jc w:val="both"/>
        <w:rPr>
          <w:rFonts w:eastAsia="Times New Roman"/>
          <w:bCs/>
          <w:lang w:val="en-PH"/>
        </w:rPr>
      </w:pPr>
      <w:r w:rsidRPr="004D779B">
        <w:rPr>
          <w:rFonts w:eastAsia="Times New Roman"/>
          <w:bCs/>
          <w:lang w:val="en-PH"/>
        </w:rPr>
        <w:lastRenderedPageBreak/>
        <w:t>The proposed rule change, filed on 14 February 2025, seeks approval to amend the rules governing the listing and trading of shares of the Trusts under NYSE Arca Rule 8.201-E, which governs commodity-based trust shares. The amendment would permit the Trusts to stake the Ether they hold in the Ethereum network. All other previously approved representations concerning the Trusts would remain unchanged. The US SEC published the proposal for public comment on 3 March 2025 and later extended the initial decision deadline before now initiating formal proceedings under Section 19(b)(2)(B) of the Securities Exchange Act of 1934. This action reflects the Commission’s intent to evaluate the regulatory implications of incorporating staking functionality within an ETF wrapper.</w:t>
      </w:r>
    </w:p>
    <w:p w14:paraId="0D308B1F" w14:textId="77777777" w:rsidR="004D779B" w:rsidRPr="004D779B" w:rsidRDefault="004D779B" w:rsidP="004D779B">
      <w:pPr>
        <w:numPr>
          <w:ilvl w:val="0"/>
          <w:numId w:val="91"/>
        </w:numPr>
        <w:jc w:val="both"/>
        <w:rPr>
          <w:rFonts w:eastAsia="Times New Roman"/>
          <w:bCs/>
          <w:lang w:val="en-PH"/>
        </w:rPr>
      </w:pPr>
      <w:r w:rsidRPr="004D779B">
        <w:rPr>
          <w:rFonts w:eastAsia="Times New Roman"/>
          <w:bCs/>
          <w:lang w:val="en-PH"/>
        </w:rPr>
        <w:t>On 14 February 2025, NYSE Arca filed the proposed amendment with the US SEC. (SR-NYSEARCA-2025-13)</w:t>
      </w:r>
    </w:p>
    <w:p w14:paraId="1A55D5B8" w14:textId="77777777" w:rsidR="004D779B" w:rsidRPr="004D779B" w:rsidRDefault="004D779B" w:rsidP="004D779B">
      <w:pPr>
        <w:numPr>
          <w:ilvl w:val="0"/>
          <w:numId w:val="91"/>
        </w:numPr>
        <w:jc w:val="both"/>
        <w:rPr>
          <w:rFonts w:eastAsia="Times New Roman"/>
          <w:bCs/>
          <w:lang w:val="en-PH"/>
        </w:rPr>
      </w:pPr>
      <w:r w:rsidRPr="004D779B">
        <w:rPr>
          <w:rFonts w:eastAsia="Times New Roman"/>
          <w:bCs/>
          <w:lang w:val="en-PH"/>
        </w:rPr>
        <w:t>On 3 March 2025, proposal was published in the Federal Register (Release No. 102485, 90 FR 11081).</w:t>
      </w:r>
    </w:p>
    <w:p w14:paraId="69F4A2D2" w14:textId="77777777" w:rsidR="004D779B" w:rsidRPr="004D779B" w:rsidRDefault="004D779B" w:rsidP="004D779B">
      <w:pPr>
        <w:numPr>
          <w:ilvl w:val="0"/>
          <w:numId w:val="91"/>
        </w:numPr>
        <w:jc w:val="both"/>
        <w:rPr>
          <w:rFonts w:eastAsia="Times New Roman"/>
          <w:bCs/>
          <w:lang w:val="en-PH"/>
        </w:rPr>
      </w:pPr>
      <w:r w:rsidRPr="004D779B">
        <w:rPr>
          <w:rFonts w:eastAsia="Times New Roman"/>
          <w:bCs/>
          <w:lang w:val="en-PH"/>
        </w:rPr>
        <w:t>On 14 April 2025, US SEC designated 1 June 2025 as the extended deadline to decide on the rule change (Release No. 102855).</w:t>
      </w:r>
    </w:p>
    <w:p w14:paraId="69174E38" w14:textId="77777777" w:rsidR="004D779B" w:rsidRPr="004D779B" w:rsidRDefault="004D779B" w:rsidP="004D779B">
      <w:pPr>
        <w:numPr>
          <w:ilvl w:val="0"/>
          <w:numId w:val="91"/>
        </w:numPr>
        <w:jc w:val="both"/>
        <w:rPr>
          <w:rFonts w:eastAsia="Times New Roman"/>
          <w:bCs/>
          <w:lang w:val="en-PH"/>
        </w:rPr>
      </w:pPr>
      <w:r w:rsidRPr="004D779B">
        <w:rPr>
          <w:rFonts w:eastAsia="Times New Roman"/>
          <w:bCs/>
          <w:lang w:val="en-PH"/>
        </w:rPr>
        <w:t>On 28 May 2025, proceedings formally instituted by the US SEC to consider approval or disapproval (Release No. 34-103137).</w:t>
      </w:r>
    </w:p>
    <w:p w14:paraId="3E20A4D1" w14:textId="77777777" w:rsidR="004D779B" w:rsidRPr="004D779B" w:rsidRDefault="004D779B" w:rsidP="004D779B">
      <w:pPr>
        <w:jc w:val="both"/>
        <w:rPr>
          <w:rFonts w:eastAsia="Times New Roman"/>
          <w:bCs/>
          <w:lang w:val="en-PH"/>
        </w:rPr>
      </w:pPr>
      <w:r w:rsidRPr="004D779B">
        <w:rPr>
          <w:rFonts w:eastAsia="Times New Roman"/>
          <w:bCs/>
          <w:lang w:val="en-PH"/>
        </w:rPr>
        <w:t>The US SEC has raised issues with the consistency of the proposed staking amendment with Section 6(b)(5) of the US Securities Exchange Act (15 U.S.C. 78f(b)(5)), which requires that the rules of a national securities exchange be designed to prevent fraudulent and manipulative acts, promote fair and equitable trading, remove impediments to efficient markets, and protect investors. Allowing the Trusts to engage in staking, a dynamic, validator-based protocol activity which introduces regulatory uncertainty as to whether such participation can coexist with the passive investment structure required of listed trust shares.</w:t>
      </w:r>
    </w:p>
    <w:p w14:paraId="055FC40A" w14:textId="77777777" w:rsidR="004D779B" w:rsidRPr="004D779B" w:rsidRDefault="004D779B" w:rsidP="004D779B">
      <w:pPr>
        <w:jc w:val="both"/>
        <w:rPr>
          <w:rFonts w:eastAsia="Times New Roman"/>
          <w:bCs/>
          <w:lang w:val="en-PH"/>
        </w:rPr>
      </w:pPr>
      <w:r w:rsidRPr="004D779B">
        <w:rPr>
          <w:rFonts w:eastAsia="Times New Roman"/>
          <w:bCs/>
          <w:lang w:val="en-PH"/>
        </w:rPr>
        <w:t>The proceeding sets the stage for compliance recalibration across crypto-related financial products. Fund sponsors, custodians, staking infrastructure providers, and legal advisers must be alert to key concerns raised by the US SEC, which includes the classification of staking rewards, risk disclosures related to slashing and network penalties, delegation of staking authority to third-party validators, and the broader question of whether a fund’s participation in a PoS network undermines its passive investment nature. Additionally, the income generated from staking may have tax and accounting implications, which must be addressed in offering documents and compliance systems.</w:t>
      </w:r>
    </w:p>
    <w:p w14:paraId="45F06C81" w14:textId="77777777" w:rsidR="004D779B" w:rsidRPr="004D779B" w:rsidRDefault="004D779B" w:rsidP="004D779B">
      <w:pPr>
        <w:jc w:val="both"/>
        <w:rPr>
          <w:rFonts w:eastAsia="Times New Roman"/>
          <w:bCs/>
          <w:lang w:val="en-PH"/>
        </w:rPr>
      </w:pPr>
      <w:r w:rsidRPr="004D779B">
        <w:rPr>
          <w:rFonts w:eastAsia="Times New Roman"/>
          <w:bCs/>
          <w:lang w:val="en-PH"/>
        </w:rPr>
        <w:t>The US SEC is formally evaluating whether regulated exchange-traded funds can participate in crypto staking. Approval would signal a willingness to evolve existing ETF structures in line with PoS blockchain functionality and open pathways for staking-enabled yield strategies in regulated financial products. Disapproval, however, would likely reinforce the current boundary between passive crypto exposure and active blockchain participation. The outcome will influence how staking, as a fundamental blockchain mechanism, can be integrated within the frameworks of public markets and securities regulation.</w:t>
      </w:r>
    </w:p>
    <w:p w14:paraId="337F6589" w14:textId="77777777" w:rsidR="004D779B" w:rsidRPr="004D779B" w:rsidRDefault="004D779B" w:rsidP="004D779B">
      <w:pPr>
        <w:jc w:val="both"/>
        <w:rPr>
          <w:rFonts w:eastAsia="Times New Roman"/>
          <w:bCs/>
          <w:lang w:val="en-PH"/>
        </w:rPr>
      </w:pPr>
      <w:r w:rsidRPr="004D779B">
        <w:rPr>
          <w:rFonts w:eastAsia="Times New Roman"/>
          <w:bCs/>
          <w:lang w:val="en-PH"/>
        </w:rPr>
        <w:t>The US SEC has requested written submissions on whether the proposed rule change is consistent with Section 6(b)(5) and other provisions of the US Exchange Act. Comments must be submitted within 21 days of the publication date in the Federal Register, and rebuttals within 35 days. The US SEC has not scheduled an oral hearing but will consider requests under Rule 19b-4.</w:t>
      </w:r>
    </w:p>
    <w:p w14:paraId="3966F5FD" w14:textId="77777777" w:rsidR="004D779B" w:rsidRPr="004D779B" w:rsidRDefault="004D779B" w:rsidP="004D779B">
      <w:pPr>
        <w:jc w:val="both"/>
        <w:rPr>
          <w:rFonts w:eastAsia="Times New Roman"/>
          <w:bCs/>
          <w:lang w:val="en-PH"/>
        </w:rPr>
      </w:pPr>
      <w:r w:rsidRPr="004D779B">
        <w:rPr>
          <w:rFonts w:eastAsia="Times New Roman"/>
          <w:bCs/>
          <w:i/>
          <w:iCs/>
          <w:lang w:val="en-PH"/>
        </w:rPr>
        <w:lastRenderedPageBreak/>
        <w:t>“Pursuant to Section 19(b)(2)(B) of the</w:t>
      </w:r>
      <w:r w:rsidRPr="004D779B">
        <w:rPr>
          <w:rFonts w:eastAsia="Times New Roman"/>
          <w:bCs/>
          <w:lang w:val="en-PH"/>
        </w:rPr>
        <w:t> US Securities Exchange Act</w:t>
      </w:r>
      <w:r w:rsidRPr="004D779B">
        <w:rPr>
          <w:rFonts w:eastAsia="Times New Roman"/>
          <w:bCs/>
          <w:i/>
          <w:iCs/>
          <w:lang w:val="en-PH"/>
        </w:rPr>
        <w:t> the Commission is providing notice of the grounds for disapproval under consideration. As described above, the Exchange proposes to allow staking of the Trusts’ ether. The Commission is instituting proceedings to allow for additional analysis of the proposed rule change’s consistency with Section 6(b)(5) of the United States </w:t>
      </w:r>
      <w:r w:rsidRPr="004D779B">
        <w:rPr>
          <w:rFonts w:eastAsia="Times New Roman"/>
          <w:bCs/>
          <w:lang w:val="en-PH"/>
        </w:rPr>
        <w:t>Securities Exchange Act</w:t>
      </w:r>
      <w:r w:rsidRPr="004D779B">
        <w:rPr>
          <w:rFonts w:eastAsia="Times New Roman"/>
          <w:bCs/>
          <w:i/>
          <w:iCs/>
          <w:lang w:val="en-PH"/>
        </w:rPr>
        <w:t>.” —</w:t>
      </w:r>
      <w:r w:rsidRPr="004D779B">
        <w:rPr>
          <w:rFonts w:eastAsia="Times New Roman"/>
          <w:bCs/>
          <w:lang w:val="en-PH"/>
        </w:rPr>
        <w:t>US SEC.</w:t>
      </w:r>
    </w:p>
    <w:p w14:paraId="3DF7ADBF" w14:textId="77777777" w:rsidR="004D779B" w:rsidRPr="004D779B" w:rsidRDefault="004D779B" w:rsidP="00025A76">
      <w:pPr>
        <w:rPr>
          <w:rFonts w:eastAsia="Times New Roman"/>
          <w:bCs/>
          <w:lang w:val="en-PH"/>
        </w:rPr>
      </w:pPr>
      <w:r w:rsidRPr="004D779B">
        <w:rPr>
          <w:rFonts w:eastAsia="Times New Roman"/>
          <w:bCs/>
          <w:lang w:val="en-PH"/>
        </w:rPr>
        <w:t>(Source: </w:t>
      </w:r>
      <w:hyperlink r:id="rId9" w:tgtFrame="_blank" w:history="1">
        <w:r w:rsidRPr="004D779B">
          <w:rPr>
            <w:rStyle w:val="Hyperlink"/>
            <w:rFonts w:eastAsia="Times New Roman"/>
            <w:bCs/>
            <w:color w:val="FF6E00"/>
            <w:lang w:val="en-PH"/>
          </w:rPr>
          <w:t>https://www.sec.gov/files/rules/sro/nysearca/2025/34-103137.pdf</w:t>
        </w:r>
      </w:hyperlink>
      <w:r w:rsidRPr="004D779B">
        <w:rPr>
          <w:rFonts w:eastAsia="Times New Roman"/>
          <w:bCs/>
          <w:lang w:val="en-PH"/>
        </w:rPr>
        <w:t>)</w:t>
      </w:r>
    </w:p>
    <w:p w14:paraId="611329E1" w14:textId="77777777" w:rsidR="00D65FF3" w:rsidRDefault="00D65FF3" w:rsidP="00707E10">
      <w:pPr>
        <w:jc w:val="both"/>
        <w:rPr>
          <w:rFonts w:eastAsia="Times New Roman"/>
          <w:bCs/>
          <w:lang w:val="en-PH"/>
        </w:rPr>
      </w:pPr>
    </w:p>
    <w:p w14:paraId="155FF3B1" w14:textId="77777777" w:rsidR="000B7BE4" w:rsidRPr="000B7BE4" w:rsidRDefault="000B7BE4" w:rsidP="00025A76">
      <w:pPr>
        <w:rPr>
          <w:b/>
          <w:bCs/>
          <w:color w:val="FF6E00"/>
          <w:lang w:val="en-PH"/>
        </w:rPr>
      </w:pPr>
      <w:r w:rsidRPr="000B7BE4">
        <w:rPr>
          <w:b/>
          <w:bCs/>
          <w:color w:val="FF6E00"/>
          <w:lang w:val="en-PH"/>
        </w:rPr>
        <w:t>US SEC to Host Public Roundtable on DeFi Regulation and Innovation Titled: “DeFi and the American Spirit” on 9 June 2025</w:t>
      </w:r>
    </w:p>
    <w:p w14:paraId="40E5F960" w14:textId="77777777" w:rsidR="000B7BE4" w:rsidRPr="000B7BE4" w:rsidRDefault="000B7BE4" w:rsidP="000B7BE4">
      <w:pPr>
        <w:jc w:val="both"/>
        <w:rPr>
          <w:rFonts w:eastAsia="Times New Roman"/>
          <w:bCs/>
          <w:lang w:val="en-PH"/>
        </w:rPr>
      </w:pPr>
      <w:r w:rsidRPr="000B7BE4">
        <w:rPr>
          <w:rFonts w:eastAsia="Times New Roman"/>
          <w:bCs/>
          <w:lang w:val="en-PH"/>
        </w:rPr>
        <w:t>On 28 May 2025, the US Securities and Exchange Commission (</w:t>
      </w:r>
      <w:r w:rsidRPr="000B7BE4">
        <w:rPr>
          <w:rFonts w:eastAsia="Times New Roman"/>
          <w:b/>
          <w:bCs/>
          <w:lang w:val="en-PH"/>
        </w:rPr>
        <w:t>US SEC</w:t>
      </w:r>
      <w:r w:rsidRPr="000B7BE4">
        <w:rPr>
          <w:rFonts w:eastAsia="Times New Roman"/>
          <w:bCs/>
          <w:lang w:val="en-PH"/>
        </w:rPr>
        <w:t>), through its Crypto Task Force, announced the full agenda and panelist list for the upcoming roundtable titled “</w:t>
      </w:r>
      <w:hyperlink r:id="rId10" w:tgtFrame="_blank" w:history="1">
        <w:r w:rsidRPr="000B7BE4">
          <w:rPr>
            <w:rStyle w:val="Hyperlink"/>
            <w:rFonts w:eastAsia="Times New Roman"/>
            <w:bCs/>
            <w:color w:val="FF6E00"/>
            <w:u w:val="none"/>
            <w:lang w:val="en-PH"/>
          </w:rPr>
          <w:t>DeFi and the American Spirit</w:t>
        </w:r>
      </w:hyperlink>
      <w:r w:rsidRPr="000B7BE4">
        <w:rPr>
          <w:rFonts w:eastAsia="Times New Roman"/>
          <w:bCs/>
          <w:lang w:val="en-PH"/>
        </w:rPr>
        <w:t>,” to be held on 9 June 2025 from 1:00 p.m. to 5:00 p.m. Eastern time (</w:t>
      </w:r>
      <w:r w:rsidRPr="000B7BE4">
        <w:rPr>
          <w:rFonts w:eastAsia="Times New Roman"/>
          <w:b/>
          <w:bCs/>
          <w:lang w:val="en-PH"/>
        </w:rPr>
        <w:t>ET</w:t>
      </w:r>
      <w:r w:rsidRPr="000B7BE4">
        <w:rPr>
          <w:rFonts w:eastAsia="Times New Roman"/>
          <w:bCs/>
          <w:lang w:val="en-PH"/>
        </w:rPr>
        <w:t>) at the US SEC Headquarters, 100 F Street, N.E., Washington, D.C. The event will be open to the public and webcast live on the official website of US SEC </w:t>
      </w:r>
      <w:hyperlink r:id="rId11" w:tgtFrame="_blank" w:history="1">
        <w:r w:rsidRPr="000B7BE4">
          <w:rPr>
            <w:rStyle w:val="Hyperlink"/>
            <w:rFonts w:eastAsia="Times New Roman"/>
            <w:bCs/>
            <w:color w:val="FF6E00"/>
            <w:u w:val="none"/>
            <w:lang w:val="en-PH"/>
          </w:rPr>
          <w:t>www.sec.gov</w:t>
        </w:r>
      </w:hyperlink>
      <w:r w:rsidRPr="000B7BE4">
        <w:rPr>
          <w:rFonts w:eastAsia="Times New Roman"/>
          <w:bCs/>
          <w:lang w:val="en-PH"/>
        </w:rPr>
        <w:t>.</w:t>
      </w:r>
    </w:p>
    <w:p w14:paraId="519CA44D" w14:textId="77777777" w:rsidR="000B7BE4" w:rsidRPr="000B7BE4" w:rsidRDefault="000B7BE4" w:rsidP="000B7BE4">
      <w:pPr>
        <w:jc w:val="both"/>
        <w:rPr>
          <w:rFonts w:eastAsia="Times New Roman"/>
          <w:bCs/>
          <w:lang w:val="en-PH"/>
        </w:rPr>
      </w:pPr>
      <w:r w:rsidRPr="000B7BE4">
        <w:rPr>
          <w:rFonts w:eastAsia="Times New Roman"/>
          <w:bCs/>
          <w:lang w:val="en-PH"/>
        </w:rPr>
        <w:t>The roundtable is a part of the US SEC’s ongoing efforts to foster dialogue on the regulatory implications of Decentralised Finance (</w:t>
      </w:r>
      <w:r w:rsidRPr="000B7BE4">
        <w:rPr>
          <w:rFonts w:eastAsia="Times New Roman"/>
          <w:b/>
          <w:bCs/>
          <w:lang w:val="en-PH"/>
        </w:rPr>
        <w:t>DeFi</w:t>
      </w:r>
      <w:r w:rsidRPr="000B7BE4">
        <w:rPr>
          <w:rFonts w:eastAsia="Times New Roman"/>
          <w:bCs/>
          <w:lang w:val="en-PH"/>
        </w:rPr>
        <w:t>). The event will open with opening remarks by Richard B. Gabbert (Chief of Staff, US Crypto Task Force), US SEC Chairman Paul S. Atkins, and US SEC Commissioners Caroline A. Crenshaw, Mark T. Uyeda, and Hester M. Peirce.</w:t>
      </w:r>
    </w:p>
    <w:p w14:paraId="0158024E" w14:textId="77777777" w:rsidR="000B7BE4" w:rsidRPr="000B7BE4" w:rsidRDefault="000B7BE4" w:rsidP="000B7BE4">
      <w:pPr>
        <w:jc w:val="both"/>
        <w:rPr>
          <w:rFonts w:eastAsia="Times New Roman"/>
          <w:bCs/>
          <w:lang w:val="en-PH"/>
        </w:rPr>
      </w:pPr>
      <w:r w:rsidRPr="000B7BE4">
        <w:rPr>
          <w:rFonts w:eastAsia="Times New Roman"/>
          <w:bCs/>
          <w:lang w:val="en-PH"/>
        </w:rPr>
        <w:t>From 1:30 p.m. to 3:00 p.m., a moderated roundtable discussion will explore DeFi’s technological landscape and regulatory considerations. The session will be moderated by Troy Paredes (Paredes Strategies LLC), featuring expert contributions from Jill Gunter (Espresso Systems), Michael Jordan (DBA), Omid Malekan (Columbia Business School), Michael Mosier (Arktouros), Rebecca Rettig (Jito Labs), Gabe Shapiro (MetaLeX), Peter Van Valkenburgh (Coin Center), Erik Voorhees (Venice AI), and Kevin Werbach (Wharton School).</w:t>
      </w:r>
    </w:p>
    <w:p w14:paraId="285D2621" w14:textId="77777777" w:rsidR="000B7BE4" w:rsidRPr="000B7BE4" w:rsidRDefault="000B7BE4" w:rsidP="000B7BE4">
      <w:pPr>
        <w:jc w:val="both"/>
        <w:rPr>
          <w:rFonts w:eastAsia="Times New Roman"/>
          <w:bCs/>
          <w:lang w:val="en-PH"/>
        </w:rPr>
      </w:pPr>
      <w:r w:rsidRPr="000B7BE4">
        <w:rPr>
          <w:rFonts w:eastAsia="Times New Roman"/>
          <w:bCs/>
          <w:lang w:val="en-PH"/>
        </w:rPr>
        <w:t>A break will follow, after which a town hall session from 3:30 p.m. to 4:55 p.m. ET will enable audience members to pose questions directly to the panelists, including submissions via email to </w:t>
      </w:r>
      <w:hyperlink r:id="rId12" w:history="1">
        <w:r w:rsidRPr="000B7BE4">
          <w:rPr>
            <w:rStyle w:val="Hyperlink"/>
            <w:rFonts w:eastAsia="Times New Roman"/>
            <w:bCs/>
            <w:color w:val="FF6E00"/>
            <w:u w:val="none"/>
            <w:lang w:val="en-PH"/>
          </w:rPr>
          <w:t>crypto@sec.gov</w:t>
        </w:r>
      </w:hyperlink>
      <w:r w:rsidRPr="000B7BE4">
        <w:rPr>
          <w:rFonts w:eastAsia="Times New Roman"/>
          <w:bCs/>
          <w:lang w:val="en-PH"/>
        </w:rPr>
        <w:t>. Commissioner Peirce will provide closing remarks from 4:55 p.m. to 5:00 p.m. ET.</w:t>
      </w:r>
    </w:p>
    <w:p w14:paraId="188C97E2" w14:textId="77777777" w:rsidR="000B7BE4" w:rsidRPr="000B7BE4" w:rsidRDefault="000B7BE4" w:rsidP="000B7BE4">
      <w:pPr>
        <w:jc w:val="both"/>
        <w:rPr>
          <w:rFonts w:eastAsia="Times New Roman"/>
          <w:bCs/>
          <w:lang w:val="en-PH"/>
        </w:rPr>
      </w:pPr>
      <w:r w:rsidRPr="000B7BE4">
        <w:rPr>
          <w:rFonts w:eastAsia="Times New Roman"/>
          <w:bCs/>
          <w:lang w:val="en-PH"/>
        </w:rPr>
        <w:t>Online viewers may access the live via </w:t>
      </w:r>
      <w:hyperlink r:id="rId13" w:tgtFrame="_blank" w:history="1">
        <w:r w:rsidRPr="000B7BE4">
          <w:rPr>
            <w:rStyle w:val="Hyperlink"/>
            <w:rFonts w:eastAsia="Times New Roman"/>
            <w:bCs/>
            <w:color w:val="FF6E00"/>
            <w:u w:val="none"/>
            <w:lang w:val="en-PH"/>
          </w:rPr>
          <w:t>www.sec.gov</w:t>
        </w:r>
      </w:hyperlink>
      <w:r w:rsidRPr="000B7BE4">
        <w:rPr>
          <w:rFonts w:eastAsia="Times New Roman"/>
          <w:bCs/>
          <w:lang w:val="en-PH"/>
        </w:rPr>
        <w:t> on 9 June 2025 without registration. For in-person attendance, advance registration is required.</w:t>
      </w:r>
    </w:p>
    <w:p w14:paraId="64AB7A8D" w14:textId="77777777" w:rsidR="000B7BE4" w:rsidRPr="000B7BE4" w:rsidRDefault="000B7BE4" w:rsidP="00025A76">
      <w:pPr>
        <w:rPr>
          <w:rFonts w:eastAsia="Times New Roman"/>
          <w:bCs/>
          <w:lang w:val="en-PH"/>
        </w:rPr>
      </w:pPr>
      <w:r w:rsidRPr="000B7BE4">
        <w:rPr>
          <w:rFonts w:eastAsia="Times New Roman"/>
          <w:bCs/>
          <w:lang w:val="en-PH"/>
        </w:rPr>
        <w:t>(Source: </w:t>
      </w:r>
      <w:hyperlink r:id="rId14" w:tgtFrame="_blank" w:history="1">
        <w:r w:rsidRPr="000B7BE4">
          <w:rPr>
            <w:rStyle w:val="Hyperlink"/>
            <w:rFonts w:eastAsia="Times New Roman"/>
            <w:bCs/>
            <w:color w:val="FF6E00"/>
            <w:lang w:val="en-PH"/>
          </w:rPr>
          <w:t>https://www.sec.gov/newsroom/press-releases/2025-78-sec-announces-agenda-panelists-roundtable-crypto-defi</w:t>
        </w:r>
      </w:hyperlink>
      <w:r w:rsidRPr="000B7BE4">
        <w:rPr>
          <w:rFonts w:eastAsia="Times New Roman"/>
          <w:bCs/>
          <w:lang w:val="en-PH"/>
        </w:rPr>
        <w:t>)</w:t>
      </w:r>
    </w:p>
    <w:p w14:paraId="6E643B5C" w14:textId="77777777" w:rsidR="00D65FF3" w:rsidRDefault="00D65FF3" w:rsidP="00707E10">
      <w:pPr>
        <w:jc w:val="both"/>
        <w:rPr>
          <w:rFonts w:eastAsia="Times New Roman"/>
          <w:bCs/>
          <w:lang w:val="en-PH"/>
        </w:rPr>
      </w:pPr>
    </w:p>
    <w:p w14:paraId="1A3E3896" w14:textId="77777777" w:rsidR="00C37D30" w:rsidRPr="00C37D30" w:rsidRDefault="00C37D30" w:rsidP="00025A76">
      <w:pPr>
        <w:rPr>
          <w:b/>
          <w:bCs/>
          <w:color w:val="FF6E00"/>
          <w:lang w:val="en-PH"/>
        </w:rPr>
      </w:pPr>
      <w:r w:rsidRPr="00C37D30">
        <w:rPr>
          <w:b/>
          <w:bCs/>
          <w:color w:val="FF6E00"/>
          <w:lang w:val="en-PH"/>
        </w:rPr>
        <w:t>US CFTC Issues Advisory Urging Stronger Market Volatility Controls by Exchanges and Clearing Houses</w:t>
      </w:r>
    </w:p>
    <w:p w14:paraId="48C461B4" w14:textId="77777777" w:rsidR="00C37D30" w:rsidRPr="00C37D30" w:rsidRDefault="00C37D30" w:rsidP="00C37D30">
      <w:pPr>
        <w:jc w:val="both"/>
        <w:rPr>
          <w:rFonts w:eastAsia="Times New Roman"/>
          <w:bCs/>
          <w:lang w:val="en-PH"/>
        </w:rPr>
      </w:pPr>
      <w:r w:rsidRPr="00C37D30">
        <w:rPr>
          <w:rFonts w:eastAsia="Times New Roman"/>
          <w:bCs/>
          <w:lang w:val="en-PH"/>
        </w:rPr>
        <w:t>On 22 May 2025, the United States Commodity Futures Trading Commission (</w:t>
      </w:r>
      <w:r w:rsidRPr="00C37D30">
        <w:rPr>
          <w:rFonts w:eastAsia="Times New Roman"/>
          <w:b/>
          <w:bCs/>
          <w:lang w:val="en-PH"/>
        </w:rPr>
        <w:t>US CFTC</w:t>
      </w:r>
      <w:r w:rsidRPr="00C37D30">
        <w:rPr>
          <w:rFonts w:eastAsia="Times New Roman"/>
          <w:bCs/>
          <w:lang w:val="en-PH"/>
        </w:rPr>
        <w:t>) released a </w:t>
      </w:r>
      <w:r w:rsidRPr="00C37D30">
        <w:rPr>
          <w:rFonts w:eastAsia="Times New Roman"/>
          <w:bCs/>
          <w:i/>
          <w:iCs/>
          <w:lang w:val="en-PH"/>
        </w:rPr>
        <w:t>CFTC Staff Advisory No. 25-15</w:t>
      </w:r>
      <w:r w:rsidRPr="00C37D30">
        <w:rPr>
          <w:rFonts w:eastAsia="Times New Roman"/>
          <w:bCs/>
          <w:lang w:val="en-PH"/>
        </w:rPr>
        <w:t>, reminding Designated Contract Markets (</w:t>
      </w:r>
      <w:r w:rsidRPr="00C37D30">
        <w:rPr>
          <w:rFonts w:eastAsia="Times New Roman"/>
          <w:b/>
          <w:bCs/>
          <w:lang w:val="en-PH"/>
        </w:rPr>
        <w:t>DCMs</w:t>
      </w:r>
      <w:r w:rsidRPr="00C37D30">
        <w:rPr>
          <w:rFonts w:eastAsia="Times New Roman"/>
          <w:bCs/>
          <w:lang w:val="en-PH"/>
        </w:rPr>
        <w:t>) and Derivatives Clearing Organizations (</w:t>
      </w:r>
      <w:r w:rsidRPr="00C37D30">
        <w:rPr>
          <w:rFonts w:eastAsia="Times New Roman"/>
          <w:b/>
          <w:bCs/>
          <w:lang w:val="en-PH"/>
        </w:rPr>
        <w:t>DCOs</w:t>
      </w:r>
      <w:r w:rsidRPr="00C37D30">
        <w:rPr>
          <w:rFonts w:eastAsia="Times New Roman"/>
          <w:bCs/>
          <w:lang w:val="en-PH"/>
        </w:rPr>
        <w:t>) of their regulatory obligations under the United States Commodity Exchange Act (</w:t>
      </w:r>
      <w:r w:rsidRPr="00C37D30">
        <w:rPr>
          <w:rFonts w:eastAsia="Times New Roman"/>
          <w:b/>
          <w:bCs/>
          <w:lang w:val="en-PH"/>
        </w:rPr>
        <w:t>CEA</w:t>
      </w:r>
      <w:r w:rsidRPr="00C37D30">
        <w:rPr>
          <w:rFonts w:eastAsia="Times New Roman"/>
          <w:bCs/>
          <w:lang w:val="en-PH"/>
        </w:rPr>
        <w:t xml:space="preserve">) and US CFTC regulations concerning market volatility controls. The advisory, jointly issued by the </w:t>
      </w:r>
      <w:r w:rsidRPr="00C37D30">
        <w:rPr>
          <w:rFonts w:eastAsia="Times New Roman"/>
          <w:bCs/>
          <w:lang w:val="en-PH"/>
        </w:rPr>
        <w:lastRenderedPageBreak/>
        <w:t>Division of Market Oversight (</w:t>
      </w:r>
      <w:r w:rsidRPr="00C37D30">
        <w:rPr>
          <w:rFonts w:eastAsia="Times New Roman"/>
          <w:b/>
          <w:bCs/>
          <w:lang w:val="en-PH"/>
        </w:rPr>
        <w:t>DMO</w:t>
      </w:r>
      <w:r w:rsidRPr="00C37D30">
        <w:rPr>
          <w:rFonts w:eastAsia="Times New Roman"/>
          <w:bCs/>
          <w:lang w:val="en-PH"/>
        </w:rPr>
        <w:t>) and the Division of Clearing and Risk (</w:t>
      </w:r>
      <w:r w:rsidRPr="00C37D30">
        <w:rPr>
          <w:rFonts w:eastAsia="Times New Roman"/>
          <w:b/>
          <w:bCs/>
          <w:lang w:val="en-PH"/>
        </w:rPr>
        <w:t>DCR</w:t>
      </w:r>
      <w:r w:rsidRPr="00C37D30">
        <w:rPr>
          <w:rFonts w:eastAsia="Times New Roman"/>
          <w:bCs/>
          <w:lang w:val="en-PH"/>
        </w:rPr>
        <w:t>), provides for preserving market integrity during periods of extreme volatility.</w:t>
      </w:r>
    </w:p>
    <w:p w14:paraId="30E52237" w14:textId="77777777" w:rsidR="00C37D30" w:rsidRPr="00C37D30" w:rsidRDefault="00C37D30" w:rsidP="00C37D30">
      <w:pPr>
        <w:jc w:val="both"/>
        <w:rPr>
          <w:rFonts w:eastAsia="Times New Roman"/>
          <w:bCs/>
          <w:lang w:val="en-PH"/>
        </w:rPr>
      </w:pPr>
      <w:r w:rsidRPr="00C37D30">
        <w:rPr>
          <w:rFonts w:eastAsia="Times New Roman"/>
          <w:bCs/>
          <w:lang w:val="en-PH"/>
        </w:rPr>
        <w:t>The advisory states that DCMs must comply with Core Principle 4 of the CEA, which mandates mechanisms to prevent manipulation, price distortion, and market disruptions. Regulation 38.255 specifically requires DCMs to implement pre-trade risk controls such as trading pauses, price bands, and circuit breakers tailored to their market characteristics. The US CFTC also referred to the United States Futures Industry Association’s (</w:t>
      </w:r>
      <w:r w:rsidRPr="00C37D30">
        <w:rPr>
          <w:rFonts w:eastAsia="Times New Roman"/>
          <w:b/>
          <w:bCs/>
          <w:lang w:val="en-PH"/>
        </w:rPr>
        <w:t>FIA</w:t>
      </w:r>
      <w:r w:rsidRPr="00C37D30">
        <w:rPr>
          <w:rFonts w:eastAsia="Times New Roman"/>
          <w:bCs/>
          <w:lang w:val="en-PH"/>
        </w:rPr>
        <w:t>) “Best Practices for Exchange Volatility Control Mechanisms” as a guiding reference, noting that controls must strike a balance between preventing erratic price movements and preserving efficient price discovery.</w:t>
      </w:r>
    </w:p>
    <w:p w14:paraId="615E5A11" w14:textId="77777777" w:rsidR="00C37D30" w:rsidRPr="00C37D30" w:rsidRDefault="00C37D30" w:rsidP="00C37D30">
      <w:pPr>
        <w:jc w:val="both"/>
        <w:rPr>
          <w:rFonts w:eastAsia="Times New Roman"/>
          <w:bCs/>
          <w:lang w:val="en-PH"/>
        </w:rPr>
      </w:pPr>
      <w:r w:rsidRPr="00C37D30">
        <w:rPr>
          <w:rFonts w:eastAsia="Times New Roman"/>
          <w:bCs/>
          <w:lang w:val="en-PH"/>
        </w:rPr>
        <w:t>DCMs are encouraged to adapt measures such as dynamic circuit breakers, price validation logic (fat finger controls), and daily price limits in a manner sensitive to trading hours, product types, and market volatility. The advisory stresses that appropriate volatility controls, informed by global best practices and market-specific risks, are instrumental in limiting systemic disruptions triggered by geopolitical or economic events.</w:t>
      </w:r>
    </w:p>
    <w:p w14:paraId="7BB21FF4" w14:textId="77777777" w:rsidR="00C37D30" w:rsidRPr="00C37D30" w:rsidRDefault="00C37D30" w:rsidP="00C37D30">
      <w:pPr>
        <w:jc w:val="both"/>
        <w:rPr>
          <w:rFonts w:eastAsia="Times New Roman"/>
          <w:bCs/>
          <w:lang w:val="en-PH"/>
        </w:rPr>
      </w:pPr>
      <w:r w:rsidRPr="00C37D30">
        <w:rPr>
          <w:rFonts w:eastAsia="Times New Roman"/>
          <w:bCs/>
          <w:lang w:val="en-PH"/>
        </w:rPr>
        <w:t>The advisory directs DCOs to assess the impact of volatility controls on their risk management practices, particularly during timeframes such as the end-of-day settlement period. Where applicable, DCOs are reminded that under US CFTC Regulation 39.13 and internal rulebooks, they may override standard price derivation methods to adopt settlement prices that better reflect economic reality. Such discretion must be exercised transparently and communicated to clearing members and market participants to manage expectations and obligations effectively.</w:t>
      </w:r>
    </w:p>
    <w:p w14:paraId="7B80D56A" w14:textId="77777777" w:rsidR="00C37D30" w:rsidRPr="00C37D30" w:rsidRDefault="00C37D30" w:rsidP="00C37D30">
      <w:pPr>
        <w:jc w:val="both"/>
        <w:rPr>
          <w:rFonts w:eastAsia="Times New Roman"/>
          <w:bCs/>
          <w:lang w:val="en-PH"/>
        </w:rPr>
      </w:pPr>
      <w:r w:rsidRPr="00C37D30">
        <w:rPr>
          <w:rFonts w:eastAsia="Times New Roman"/>
          <w:bCs/>
          <w:lang w:val="en-PH"/>
        </w:rPr>
        <w:t>The advisory aligns with the US CFTC’s global regulatory strategy and incorporates recommendations from the Global Markets Advisory Committee (</w:t>
      </w:r>
      <w:r w:rsidRPr="00C37D30">
        <w:rPr>
          <w:rFonts w:eastAsia="Times New Roman"/>
          <w:b/>
          <w:bCs/>
          <w:lang w:val="en-PH"/>
        </w:rPr>
        <w:t>GMAC</w:t>
      </w:r>
      <w:r w:rsidRPr="00C37D30">
        <w:rPr>
          <w:rFonts w:eastAsia="Times New Roman"/>
          <w:bCs/>
          <w:lang w:val="en-PH"/>
        </w:rPr>
        <w:t>), promoting harmonisation with international standards. It also references historical precedents such as the 2008 cotton futures episode to illustrate the practical relevance of using alternative price references in volatile scenarios.</w:t>
      </w:r>
    </w:p>
    <w:p w14:paraId="1888346D" w14:textId="77777777" w:rsidR="00C37D30" w:rsidRPr="00C37D30" w:rsidRDefault="00C37D30" w:rsidP="00C37D30">
      <w:pPr>
        <w:jc w:val="both"/>
        <w:rPr>
          <w:rFonts w:eastAsia="Times New Roman"/>
          <w:bCs/>
          <w:lang w:val="en-PH"/>
        </w:rPr>
      </w:pPr>
      <w:r w:rsidRPr="00C37D30">
        <w:rPr>
          <w:rFonts w:eastAsia="Times New Roman"/>
          <w:bCs/>
          <w:lang w:val="en-PH"/>
        </w:rPr>
        <w:t>This US CFTC Advisory is a considered view of the US CFTC’s DMO and DCR, not binding on the US CFTC. Queries regarding the advisory may be directed to DMO Acting Director Rahul Varma and DCR Acting Director Richard Haynes.</w:t>
      </w:r>
    </w:p>
    <w:p w14:paraId="3C50093F" w14:textId="77777777" w:rsidR="00C37D30" w:rsidRPr="00C37D30" w:rsidRDefault="00C37D30" w:rsidP="00025A76">
      <w:pPr>
        <w:rPr>
          <w:rFonts w:eastAsia="Times New Roman"/>
          <w:bCs/>
          <w:lang w:val="en-PH"/>
        </w:rPr>
      </w:pPr>
      <w:r w:rsidRPr="00C37D30">
        <w:rPr>
          <w:rFonts w:eastAsia="Times New Roman"/>
          <w:bCs/>
          <w:lang w:val="en-PH"/>
        </w:rPr>
        <w:t>(Source: </w:t>
      </w:r>
      <w:hyperlink r:id="rId15" w:tgtFrame="_blank" w:history="1">
        <w:r w:rsidRPr="00C37D30">
          <w:rPr>
            <w:rStyle w:val="Hyperlink"/>
            <w:rFonts w:eastAsia="Times New Roman"/>
            <w:bCs/>
            <w:color w:val="FF6E00"/>
            <w:lang w:val="en-PH"/>
          </w:rPr>
          <w:t>https://www.cftc.gov/PressRoom/PressReleases/9078-25</w:t>
        </w:r>
      </w:hyperlink>
      <w:r w:rsidRPr="00C37D30">
        <w:rPr>
          <w:rFonts w:eastAsia="Times New Roman"/>
          <w:bCs/>
          <w:lang w:val="en-PH"/>
        </w:rPr>
        <w:t>)</w:t>
      </w:r>
    </w:p>
    <w:p w14:paraId="4EEED8F6" w14:textId="77777777" w:rsidR="00D65FF3" w:rsidRDefault="00D65FF3" w:rsidP="00707E10">
      <w:pPr>
        <w:jc w:val="both"/>
        <w:rPr>
          <w:rFonts w:eastAsia="Times New Roman"/>
          <w:bCs/>
          <w:lang w:val="en-PH"/>
        </w:rPr>
      </w:pPr>
    </w:p>
    <w:p w14:paraId="1ED7D177" w14:textId="77777777" w:rsidR="00BD6FA5" w:rsidRPr="00BD6FA5" w:rsidRDefault="00BD6FA5" w:rsidP="00025A76">
      <w:pPr>
        <w:rPr>
          <w:b/>
          <w:bCs/>
          <w:color w:val="FF6E00"/>
          <w:lang w:val="en-PH"/>
        </w:rPr>
      </w:pPr>
      <w:r w:rsidRPr="00BD6FA5">
        <w:rPr>
          <w:b/>
          <w:bCs/>
          <w:color w:val="FF6E00"/>
          <w:lang w:val="en-PH"/>
        </w:rPr>
        <w:t>US CFTC Confirms Cross-Border Regulatory Interpretations for Foreign Proprietary Trading Firm</w:t>
      </w:r>
    </w:p>
    <w:p w14:paraId="7D5D3510" w14:textId="77777777" w:rsidR="00BD6FA5" w:rsidRPr="00BD6FA5" w:rsidRDefault="00BD6FA5" w:rsidP="00BD6FA5">
      <w:pPr>
        <w:jc w:val="both"/>
        <w:rPr>
          <w:rFonts w:eastAsia="Times New Roman"/>
          <w:bCs/>
          <w:lang w:val="en-PH"/>
        </w:rPr>
      </w:pPr>
      <w:r w:rsidRPr="00BD6FA5">
        <w:rPr>
          <w:rFonts w:eastAsia="Times New Roman"/>
          <w:bCs/>
          <w:lang w:val="en-PH"/>
        </w:rPr>
        <w:t>On 21 May 2025, the United States Commodity Futures Trading Commission (</w:t>
      </w:r>
      <w:r w:rsidRPr="00BD6FA5">
        <w:rPr>
          <w:rFonts w:eastAsia="Times New Roman"/>
          <w:b/>
          <w:bCs/>
          <w:lang w:val="en-PH"/>
        </w:rPr>
        <w:t>US CFTC</w:t>
      </w:r>
      <w:r w:rsidRPr="00BD6FA5">
        <w:rPr>
          <w:rFonts w:eastAsia="Times New Roman"/>
          <w:bCs/>
          <w:lang w:val="en-PH"/>
        </w:rPr>
        <w:t>), through its Market Participants Division and Division of Market Oversight, issued an interpretative letter clarifying the application of cross-border definitions under existing US CFTC regulations. This regulatory clarification was provided in response to a formal request by a proprietary trading firm organised outside the United States.</w:t>
      </w:r>
    </w:p>
    <w:p w14:paraId="7BC9AB48" w14:textId="77777777" w:rsidR="00BD6FA5" w:rsidRPr="00BD6FA5" w:rsidRDefault="00BD6FA5" w:rsidP="00BD6FA5">
      <w:pPr>
        <w:jc w:val="both"/>
        <w:rPr>
          <w:rFonts w:eastAsia="Times New Roman"/>
          <w:bCs/>
          <w:lang w:val="en-PH"/>
        </w:rPr>
      </w:pPr>
      <w:r w:rsidRPr="00BD6FA5">
        <w:rPr>
          <w:rFonts w:eastAsia="Times New Roman"/>
          <w:bCs/>
          <w:lang w:val="en-PH"/>
        </w:rPr>
        <w:t>The interpretative letter affirms that, based on the specific facts submitted, the foreign proprietary trading firm is not considered a “person located in the United States” under the definition of a “foreign futures or foreign options customer” as per US CFTC regulation 30.1(c). Further, the firm is not classified as a “participant located in the United States” under US CFTC regulation 48.2(c).</w:t>
      </w:r>
    </w:p>
    <w:p w14:paraId="02BCEEC2" w14:textId="77777777" w:rsidR="00BD6FA5" w:rsidRPr="00BD6FA5" w:rsidRDefault="00BD6FA5" w:rsidP="00BD6FA5">
      <w:pPr>
        <w:jc w:val="both"/>
        <w:rPr>
          <w:rFonts w:eastAsia="Times New Roman"/>
          <w:bCs/>
          <w:lang w:val="en-PH"/>
        </w:rPr>
      </w:pPr>
      <w:r w:rsidRPr="00BD6FA5">
        <w:rPr>
          <w:rFonts w:eastAsia="Times New Roman"/>
          <w:bCs/>
          <w:lang w:val="en-PH"/>
        </w:rPr>
        <w:lastRenderedPageBreak/>
        <w:t>US CFTC’s staff determined that the firm qualifies as a “foreign located person” pursuant to US CFTC regulation 3.10(c)(1)(ii), and is not a “U.S. person” under the meaning of Commission regulation 23.23(a) and the US CFTC’s 2013 </w:t>
      </w:r>
      <w:hyperlink r:id="rId16" w:tgtFrame="_blank" w:history="1">
        <w:r w:rsidRPr="00BD6FA5">
          <w:rPr>
            <w:rStyle w:val="Hyperlink"/>
            <w:rFonts w:eastAsia="Times New Roman"/>
            <w:bCs/>
            <w:color w:val="FF6E00"/>
            <w:u w:val="none"/>
            <w:lang w:val="en-PH"/>
          </w:rPr>
          <w:t>Interpretive Guidance and Policy Statement Regarding Compliance With Certain Swap Regulations</w:t>
        </w:r>
      </w:hyperlink>
      <w:r w:rsidRPr="00BD6FA5">
        <w:rPr>
          <w:rFonts w:eastAsia="Times New Roman"/>
          <w:bCs/>
          <w:lang w:val="en-PH"/>
        </w:rPr>
        <w:t>.</w:t>
      </w:r>
    </w:p>
    <w:p w14:paraId="252036DC" w14:textId="77777777" w:rsidR="00BD6FA5" w:rsidRPr="00BD6FA5" w:rsidRDefault="00BD6FA5" w:rsidP="00BD6FA5">
      <w:pPr>
        <w:jc w:val="both"/>
        <w:rPr>
          <w:rFonts w:eastAsia="Times New Roman"/>
          <w:bCs/>
          <w:lang w:val="en-PH"/>
        </w:rPr>
      </w:pPr>
      <w:r w:rsidRPr="00BD6FA5">
        <w:rPr>
          <w:rFonts w:eastAsia="Times New Roman"/>
          <w:bCs/>
          <w:lang w:val="en-PH"/>
        </w:rPr>
        <w:t>This interpretation is meant to provide legal certainty for the proprietary trading firm regarding its cross-border regulatory status under US CFTC oversight with regulatory clarity for international market participants engaging in US-regulated derivatives activities.</w:t>
      </w:r>
    </w:p>
    <w:p w14:paraId="5FE55A1B" w14:textId="77777777" w:rsidR="00BD6FA5" w:rsidRPr="00BD6FA5" w:rsidRDefault="00BD6FA5" w:rsidP="00025A76">
      <w:pPr>
        <w:rPr>
          <w:rFonts w:eastAsia="Times New Roman"/>
          <w:bCs/>
          <w:lang w:val="en-PH"/>
        </w:rPr>
      </w:pPr>
      <w:r w:rsidRPr="00BD6FA5">
        <w:rPr>
          <w:rFonts w:eastAsia="Times New Roman"/>
          <w:bCs/>
          <w:lang w:val="en-PH"/>
        </w:rPr>
        <w:t>(Source: </w:t>
      </w:r>
      <w:hyperlink r:id="rId17" w:tgtFrame="_blank" w:history="1">
        <w:r w:rsidRPr="00BD6FA5">
          <w:rPr>
            <w:rStyle w:val="Hyperlink"/>
            <w:rFonts w:eastAsia="Times New Roman"/>
            <w:bCs/>
            <w:color w:val="FF6E00"/>
            <w:lang w:val="en-PH"/>
          </w:rPr>
          <w:t>https://www.cftc.gov/PressRoom/PressReleases/9077-25</w:t>
        </w:r>
      </w:hyperlink>
      <w:r w:rsidRPr="00BD6FA5">
        <w:rPr>
          <w:rFonts w:eastAsia="Times New Roman"/>
          <w:bCs/>
          <w:lang w:val="en-PH"/>
        </w:rPr>
        <w:t>)</w:t>
      </w:r>
    </w:p>
    <w:p w14:paraId="7DEDBDAF" w14:textId="77777777" w:rsidR="00D65FF3" w:rsidRDefault="00D65FF3" w:rsidP="00707E10">
      <w:pPr>
        <w:jc w:val="both"/>
        <w:rPr>
          <w:rFonts w:eastAsia="Times New Roman"/>
          <w:bCs/>
          <w:lang w:val="en-PH"/>
        </w:rPr>
      </w:pPr>
    </w:p>
    <w:p w14:paraId="64ACE4D6" w14:textId="77777777" w:rsidR="000976A9" w:rsidRPr="000976A9" w:rsidRDefault="000976A9" w:rsidP="00025A76">
      <w:pPr>
        <w:rPr>
          <w:b/>
          <w:bCs/>
          <w:color w:val="FF6E00"/>
          <w:lang w:val="en-PH"/>
        </w:rPr>
      </w:pPr>
      <w:r w:rsidRPr="000976A9">
        <w:rPr>
          <w:b/>
          <w:bCs/>
          <w:color w:val="FF6E00"/>
          <w:lang w:val="en-PH"/>
        </w:rPr>
        <w:t>US SEC and FINRA Withdraw 2019 Joint Statement on Broker-Dealer Custody of Digital Asset Securities, Signalling Policy Shift in Crypto Oversight</w:t>
      </w:r>
    </w:p>
    <w:p w14:paraId="0A0049C0" w14:textId="77777777" w:rsidR="000976A9" w:rsidRPr="000976A9" w:rsidRDefault="000976A9" w:rsidP="000976A9">
      <w:pPr>
        <w:jc w:val="both"/>
        <w:rPr>
          <w:rFonts w:eastAsia="Times New Roman"/>
          <w:bCs/>
          <w:lang w:val="en-PH"/>
        </w:rPr>
      </w:pPr>
      <w:r w:rsidRPr="000976A9">
        <w:rPr>
          <w:rFonts w:eastAsia="Times New Roman"/>
          <w:bCs/>
          <w:lang w:val="en-PH"/>
        </w:rPr>
        <w:t>On 15 May 2025, the United States Securities and Exchange Commission (</w:t>
      </w:r>
      <w:r w:rsidRPr="000976A9">
        <w:rPr>
          <w:rFonts w:eastAsia="Times New Roman"/>
          <w:b/>
          <w:bCs/>
          <w:lang w:val="en-PH"/>
        </w:rPr>
        <w:t>US SEC</w:t>
      </w:r>
      <w:r w:rsidRPr="000976A9">
        <w:rPr>
          <w:rFonts w:eastAsia="Times New Roman"/>
          <w:bCs/>
          <w:lang w:val="en-PH"/>
        </w:rPr>
        <w:t>), through its Division of Trading and Markets, together with the Office of General Counsel of the Financial Industry Regulatory Authority, Inc. (</w:t>
      </w:r>
      <w:r w:rsidRPr="000976A9">
        <w:rPr>
          <w:rFonts w:eastAsia="Times New Roman"/>
          <w:b/>
          <w:bCs/>
          <w:lang w:val="en-PH"/>
        </w:rPr>
        <w:t>FINRA</w:t>
      </w:r>
      <w:r w:rsidRPr="000976A9">
        <w:rPr>
          <w:rFonts w:eastAsia="Times New Roman"/>
          <w:bCs/>
          <w:lang w:val="en-PH"/>
        </w:rPr>
        <w:t>), formally withdrew the </w:t>
      </w:r>
      <w:hyperlink r:id="rId18" w:tgtFrame="_blank" w:history="1">
        <w:r w:rsidRPr="000976A9">
          <w:rPr>
            <w:rStyle w:val="Hyperlink"/>
            <w:rFonts w:eastAsia="Times New Roman"/>
            <w:bCs/>
            <w:color w:val="FF6E00"/>
            <w:u w:val="none"/>
            <w:lang w:val="en-PH"/>
          </w:rPr>
          <w:t>Joint Staff Statement on Broker-Dealer Custody of Digital Asset Securities</w:t>
        </w:r>
      </w:hyperlink>
      <w:r w:rsidRPr="000976A9">
        <w:rPr>
          <w:rFonts w:eastAsia="Times New Roman"/>
          <w:bCs/>
          <w:lang w:val="en-PH"/>
        </w:rPr>
        <w:t> issued on 8 July 2019. The withdrawal is effective immediately and was published on the official US SEC website.</w:t>
      </w:r>
    </w:p>
    <w:p w14:paraId="481A0199" w14:textId="77777777" w:rsidR="000976A9" w:rsidRPr="000976A9" w:rsidRDefault="000976A9" w:rsidP="000976A9">
      <w:pPr>
        <w:jc w:val="both"/>
        <w:rPr>
          <w:rFonts w:eastAsia="Times New Roman"/>
          <w:bCs/>
          <w:lang w:val="en-PH"/>
        </w:rPr>
      </w:pPr>
      <w:r w:rsidRPr="000976A9">
        <w:rPr>
          <w:rFonts w:eastAsia="Times New Roman"/>
          <w:bCs/>
          <w:lang w:val="en-PH"/>
        </w:rPr>
        <w:t>The original Joint Staff Statement provided guidance on how broker-dealers could comply with existing custody requirements when holding digital asset securities. Its withdrawal, possibly in favour of updated and more comprehensive guidance or forthcoming rulemaking better suited to current market conditions and technological developments.</w:t>
      </w:r>
    </w:p>
    <w:p w14:paraId="28BC22ED" w14:textId="77777777" w:rsidR="000976A9" w:rsidRPr="000976A9" w:rsidRDefault="000976A9" w:rsidP="000976A9">
      <w:pPr>
        <w:jc w:val="both"/>
        <w:rPr>
          <w:rFonts w:eastAsia="Times New Roman"/>
          <w:bCs/>
          <w:lang w:val="en-PH"/>
        </w:rPr>
      </w:pPr>
      <w:r w:rsidRPr="000976A9">
        <w:rPr>
          <w:rFonts w:eastAsia="Times New Roman"/>
          <w:bCs/>
          <w:lang w:val="en-PH"/>
        </w:rPr>
        <w:t>Stakeholders like crypto custodians are directed to the US SEC’s Crypto Task Force webpage for additional guidance or to contact Associate Director Michael Macchiaroli and Assistant Director Raymond Lombardo at the Division of Trading and Markets. Parallel inquiries may be directed to FINRA’s Crypto Assets team or Associate General Counsel Tom Kimbrell.</w:t>
      </w:r>
    </w:p>
    <w:p w14:paraId="5494977E" w14:textId="77777777" w:rsidR="000976A9" w:rsidRPr="000976A9" w:rsidRDefault="000976A9" w:rsidP="00025A76">
      <w:pPr>
        <w:rPr>
          <w:rFonts w:eastAsia="Times New Roman"/>
          <w:bCs/>
          <w:lang w:val="en-PH"/>
        </w:rPr>
      </w:pPr>
      <w:r w:rsidRPr="000976A9">
        <w:rPr>
          <w:rFonts w:eastAsia="Times New Roman"/>
          <w:bCs/>
          <w:lang w:val="en-PH"/>
        </w:rPr>
        <w:t>(Source: </w:t>
      </w:r>
      <w:hyperlink r:id="rId19" w:tgtFrame="_blank" w:history="1">
        <w:r w:rsidRPr="000976A9">
          <w:rPr>
            <w:rStyle w:val="Hyperlink"/>
            <w:rFonts w:eastAsia="Times New Roman"/>
            <w:bCs/>
            <w:color w:val="FF6E00"/>
            <w:lang w:val="en-PH"/>
          </w:rPr>
          <w:t>https://www.sec.gov/newsroom/speeches-statements/withdrawal-joint-staff-statement-broker-dealer-custody-digital-asset-securities</w:t>
        </w:r>
      </w:hyperlink>
      <w:r w:rsidRPr="000976A9">
        <w:rPr>
          <w:rFonts w:eastAsia="Times New Roman"/>
          <w:bCs/>
          <w:lang w:val="en-PH"/>
        </w:rPr>
        <w:t>)</w:t>
      </w:r>
    </w:p>
    <w:p w14:paraId="3E8F514F" w14:textId="77777777" w:rsidR="00D65FF3" w:rsidRDefault="00D65FF3" w:rsidP="00707E10">
      <w:pPr>
        <w:jc w:val="both"/>
        <w:rPr>
          <w:rFonts w:eastAsia="Times New Roman"/>
          <w:bCs/>
          <w:lang w:val="en-PH"/>
        </w:rPr>
      </w:pPr>
    </w:p>
    <w:p w14:paraId="0719CDF4" w14:textId="77777777" w:rsidR="001815E2" w:rsidRDefault="001815E2" w:rsidP="00707E10">
      <w:pPr>
        <w:jc w:val="both"/>
        <w:rPr>
          <w:rFonts w:eastAsia="Times New Roman"/>
          <w:bCs/>
          <w:lang w:val="en-PH"/>
        </w:rPr>
      </w:pPr>
    </w:p>
    <w:p w14:paraId="03D83EA9" w14:textId="77777777" w:rsidR="00721CD5" w:rsidRDefault="00721CD5" w:rsidP="00707E10">
      <w:pPr>
        <w:jc w:val="both"/>
        <w:rPr>
          <w:rFonts w:eastAsia="Times New Roman"/>
          <w:bCs/>
          <w:lang w:val="en-PH"/>
        </w:rPr>
      </w:pPr>
    </w:p>
    <w:p w14:paraId="33DA9DEA" w14:textId="77777777" w:rsidR="006356FA" w:rsidRDefault="006356FA" w:rsidP="00C73CCD">
      <w:pPr>
        <w:rPr>
          <w:rFonts w:eastAsia="Times New Roman"/>
          <w:bCs/>
          <w:lang w:val="en-PH"/>
        </w:rPr>
      </w:pPr>
    </w:p>
    <w:p w14:paraId="07FAE2F1" w14:textId="29828305" w:rsidR="00DC0A88" w:rsidRDefault="00BB25B7" w:rsidP="00C73CCD">
      <w:pPr>
        <w:rPr>
          <w:rFonts w:eastAsia="Times New Roman"/>
          <w:bCs/>
          <w:lang w:val="en-PH"/>
        </w:rPr>
      </w:pPr>
      <w:r>
        <w:rPr>
          <w:rFonts w:eastAsia="Times New Roman"/>
          <w:bCs/>
          <w:lang w:val="en-PH"/>
        </w:rPr>
        <w:br/>
      </w:r>
    </w:p>
    <w:p w14:paraId="1E95A167" w14:textId="77777777" w:rsidR="00BB25B7" w:rsidRDefault="00BB25B7" w:rsidP="00C73CCD">
      <w:pPr>
        <w:rPr>
          <w:rFonts w:eastAsia="Times New Roman"/>
          <w:bCs/>
          <w:lang w:val="en-PH"/>
        </w:rPr>
      </w:pPr>
    </w:p>
    <w:p w14:paraId="3C5B9F66" w14:textId="77777777" w:rsidR="00BB25B7" w:rsidRDefault="00BB25B7" w:rsidP="00C73CCD">
      <w:pPr>
        <w:rPr>
          <w:rFonts w:eastAsia="Times New Roman"/>
          <w:bCs/>
          <w:lang w:val="en-PH"/>
        </w:rPr>
      </w:pPr>
    </w:p>
    <w:p w14:paraId="4892ED36" w14:textId="77777777" w:rsidR="00BB25B7" w:rsidRPr="00AD3CFC" w:rsidRDefault="00BB25B7" w:rsidP="00C73CCD">
      <w:pPr>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lastRenderedPageBreak/>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20">
        <w:r w:rsidRPr="00C46FF7">
          <w:rPr>
            <w:rFonts w:ascii="Arial" w:hAnsi="Arial" w:cs="Arial"/>
            <w:sz w:val="22"/>
            <w:szCs w:val="22"/>
            <w:lang w:val="en-GB"/>
          </w:rPr>
          <w:t>unsubscribe@charltonslaw.com</w:t>
        </w:r>
      </w:hyperlink>
    </w:p>
    <w:p w14:paraId="4BFB9E37" w14:textId="33BE48B2"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631E57">
        <w:rPr>
          <w:rFonts w:ascii="Arial" w:hAnsi="Arial" w:cs="Arial"/>
          <w:sz w:val="22"/>
          <w:szCs w:val="22"/>
          <w:lang w:val="en-GB"/>
        </w:rPr>
        <w:t>4</w:t>
      </w:r>
      <w:r w:rsidR="00E85962">
        <w:rPr>
          <w:rFonts w:ascii="Arial" w:hAnsi="Arial" w:cs="Arial"/>
          <w:sz w:val="22"/>
          <w:szCs w:val="22"/>
          <w:lang w:val="en-GB"/>
        </w:rPr>
        <w:t>7</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9D7200">
        <w:rPr>
          <w:rFonts w:ascii="Arial" w:eastAsia="Cambria" w:hAnsi="Arial" w:cs="Arial"/>
          <w:sz w:val="22"/>
          <w:szCs w:val="22"/>
          <w:lang w:val="en-GB"/>
        </w:rPr>
        <w:t>May</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891193"/>
    <w:multiLevelType w:val="multilevel"/>
    <w:tmpl w:val="B0D08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92604B"/>
    <w:multiLevelType w:val="hybridMultilevel"/>
    <w:tmpl w:val="E4866DF6"/>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0B652EC"/>
    <w:multiLevelType w:val="hybridMultilevel"/>
    <w:tmpl w:val="FF24BEDE"/>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1C6DDF"/>
    <w:multiLevelType w:val="multilevel"/>
    <w:tmpl w:val="802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415A01"/>
    <w:multiLevelType w:val="multilevel"/>
    <w:tmpl w:val="4086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8" w15:restartNumberingAfterBreak="0">
    <w:nsid w:val="1E8A3DCD"/>
    <w:multiLevelType w:val="hybridMultilevel"/>
    <w:tmpl w:val="5E36C350"/>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027C22"/>
    <w:multiLevelType w:val="hybridMultilevel"/>
    <w:tmpl w:val="D6D8CB2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2A23BE"/>
    <w:multiLevelType w:val="multilevel"/>
    <w:tmpl w:val="EFE0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29827EA"/>
    <w:multiLevelType w:val="multilevel"/>
    <w:tmpl w:val="061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4D54FA"/>
    <w:multiLevelType w:val="hybridMultilevel"/>
    <w:tmpl w:val="92C88266"/>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3AAA3973"/>
    <w:multiLevelType w:val="hybridMultilevel"/>
    <w:tmpl w:val="4DA8881E"/>
    <w:lvl w:ilvl="0" w:tplc="3409001B">
      <w:start w:val="1"/>
      <w:numFmt w:val="lowerRoman"/>
      <w:lvlText w:val="%1."/>
      <w:lvlJc w:val="righ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3BE03B72"/>
    <w:multiLevelType w:val="hybridMultilevel"/>
    <w:tmpl w:val="D6D8CB2E"/>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40472356"/>
    <w:multiLevelType w:val="multilevel"/>
    <w:tmpl w:val="914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A17608"/>
    <w:multiLevelType w:val="hybridMultilevel"/>
    <w:tmpl w:val="B302E34C"/>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2610C9"/>
    <w:multiLevelType w:val="multilevel"/>
    <w:tmpl w:val="E600232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4382251"/>
    <w:multiLevelType w:val="multilevel"/>
    <w:tmpl w:val="7026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4C1CF9"/>
    <w:multiLevelType w:val="multilevel"/>
    <w:tmpl w:val="434E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57B27E99"/>
    <w:multiLevelType w:val="multilevel"/>
    <w:tmpl w:val="08E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1" w15:restartNumberingAfterBreak="0">
    <w:nsid w:val="5B3C4F52"/>
    <w:multiLevelType w:val="multilevel"/>
    <w:tmpl w:val="8AA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B825B52"/>
    <w:multiLevelType w:val="multilevel"/>
    <w:tmpl w:val="47F26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31B55AD"/>
    <w:multiLevelType w:val="multilevel"/>
    <w:tmpl w:val="3992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8E90F05"/>
    <w:multiLevelType w:val="multilevel"/>
    <w:tmpl w:val="C2720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3"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605609A"/>
    <w:multiLevelType w:val="multilevel"/>
    <w:tmpl w:val="9FAC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8EB2059"/>
    <w:multiLevelType w:val="multilevel"/>
    <w:tmpl w:val="E7207B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CA17B09"/>
    <w:multiLevelType w:val="multilevel"/>
    <w:tmpl w:val="9462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E94445F"/>
    <w:multiLevelType w:val="multilevel"/>
    <w:tmpl w:val="8112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EF97630"/>
    <w:multiLevelType w:val="multilevel"/>
    <w:tmpl w:val="AF7A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61"/>
  </w:num>
  <w:num w:numId="3" w16cid:durableId="2074813254">
    <w:abstractNumId w:val="17"/>
  </w:num>
  <w:num w:numId="4" w16cid:durableId="1502967021">
    <w:abstractNumId w:val="0"/>
  </w:num>
  <w:num w:numId="5" w16cid:durableId="942999798">
    <w:abstractNumId w:val="72"/>
  </w:num>
  <w:num w:numId="6" w16cid:durableId="1575898805">
    <w:abstractNumId w:val="43"/>
  </w:num>
  <w:num w:numId="7" w16cid:durableId="1378318754">
    <w:abstractNumId w:val="49"/>
  </w:num>
  <w:num w:numId="8" w16cid:durableId="580287903">
    <w:abstractNumId w:val="37"/>
  </w:num>
  <w:num w:numId="9" w16cid:durableId="1550872740">
    <w:abstractNumId w:val="57"/>
  </w:num>
  <w:num w:numId="10" w16cid:durableId="1971083369">
    <w:abstractNumId w:val="3"/>
  </w:num>
  <w:num w:numId="11" w16cid:durableId="1221399460">
    <w:abstractNumId w:val="62"/>
  </w:num>
  <w:num w:numId="12" w16cid:durableId="1130344">
    <w:abstractNumId w:val="10"/>
  </w:num>
  <w:num w:numId="13" w16cid:durableId="724571868">
    <w:abstractNumId w:val="1"/>
  </w:num>
  <w:num w:numId="14" w16cid:durableId="273438372">
    <w:abstractNumId w:val="53"/>
    <w:lvlOverride w:ilvl="0">
      <w:lvl w:ilvl="0">
        <w:numFmt w:val="lowerRoman"/>
        <w:lvlText w:val="%1."/>
        <w:lvlJc w:val="right"/>
      </w:lvl>
    </w:lvlOverride>
  </w:num>
  <w:num w:numId="15" w16cid:durableId="1735548128">
    <w:abstractNumId w:val="53"/>
    <w:lvlOverride w:ilvl="0">
      <w:lvl w:ilvl="0">
        <w:numFmt w:val="lowerRoman"/>
        <w:lvlText w:val="%1."/>
        <w:lvlJc w:val="right"/>
      </w:lvl>
    </w:lvlOverride>
  </w:num>
  <w:num w:numId="16" w16cid:durableId="1888104222">
    <w:abstractNumId w:val="53"/>
    <w:lvlOverride w:ilvl="0">
      <w:lvl w:ilvl="0">
        <w:numFmt w:val="lowerRoman"/>
        <w:lvlText w:val="%1."/>
        <w:lvlJc w:val="right"/>
      </w:lvl>
    </w:lvlOverride>
  </w:num>
  <w:num w:numId="17" w16cid:durableId="1586258705">
    <w:abstractNumId w:val="53"/>
    <w:lvlOverride w:ilvl="0">
      <w:lvl w:ilvl="0">
        <w:numFmt w:val="lowerRoman"/>
        <w:lvlText w:val="%1."/>
        <w:lvlJc w:val="right"/>
      </w:lvl>
    </w:lvlOverride>
  </w:num>
  <w:num w:numId="18" w16cid:durableId="1661732417">
    <w:abstractNumId w:val="42"/>
  </w:num>
  <w:num w:numId="19" w16cid:durableId="511378157">
    <w:abstractNumId w:val="12"/>
  </w:num>
  <w:num w:numId="20" w16cid:durableId="121969876">
    <w:abstractNumId w:val="4"/>
  </w:num>
  <w:num w:numId="21" w16cid:durableId="1684628695">
    <w:abstractNumId w:val="56"/>
  </w:num>
  <w:num w:numId="22" w16cid:durableId="1107626459">
    <w:abstractNumId w:val="47"/>
  </w:num>
  <w:num w:numId="23" w16cid:durableId="118770229">
    <w:abstractNumId w:val="73"/>
  </w:num>
  <w:num w:numId="24" w16cid:durableId="177693014">
    <w:abstractNumId w:val="50"/>
  </w:num>
  <w:num w:numId="25" w16cid:durableId="580061562">
    <w:abstractNumId w:val="23"/>
  </w:num>
  <w:num w:numId="26" w16cid:durableId="1366559567">
    <w:abstractNumId w:val="20"/>
  </w:num>
  <w:num w:numId="27" w16cid:durableId="288439127">
    <w:abstractNumId w:val="25"/>
  </w:num>
  <w:num w:numId="28" w16cid:durableId="486632546">
    <w:abstractNumId w:val="13"/>
  </w:num>
  <w:num w:numId="29" w16cid:durableId="331033149">
    <w:abstractNumId w:val="5"/>
  </w:num>
  <w:num w:numId="30" w16cid:durableId="156650898">
    <w:abstractNumId w:val="60"/>
  </w:num>
  <w:num w:numId="31" w16cid:durableId="1188131849">
    <w:abstractNumId w:val="28"/>
  </w:num>
  <w:num w:numId="32" w16cid:durableId="1085417770">
    <w:abstractNumId w:val="44"/>
  </w:num>
  <w:num w:numId="33" w16cid:durableId="1683126352">
    <w:abstractNumId w:val="59"/>
  </w:num>
  <w:num w:numId="34" w16cid:durableId="71051670">
    <w:abstractNumId w:val="11"/>
  </w:num>
  <w:num w:numId="35" w16cid:durableId="385373748">
    <w:abstractNumId w:val="40"/>
  </w:num>
  <w:num w:numId="36" w16cid:durableId="56053006">
    <w:abstractNumId w:val="65"/>
  </w:num>
  <w:num w:numId="37" w16cid:durableId="1519923209">
    <w:abstractNumId w:val="66"/>
  </w:num>
  <w:num w:numId="38" w16cid:durableId="2138062333">
    <w:abstractNumId w:val="39"/>
  </w:num>
  <w:num w:numId="39" w16cid:durableId="407267627">
    <w:abstractNumId w:val="14"/>
  </w:num>
  <w:num w:numId="40" w16cid:durableId="829977268">
    <w:abstractNumId w:val="19"/>
  </w:num>
  <w:num w:numId="41" w16cid:durableId="1835872112">
    <w:abstractNumId w:val="6"/>
  </w:num>
  <w:num w:numId="42" w16cid:durableId="477842735">
    <w:abstractNumId w:val="27"/>
  </w:num>
  <w:num w:numId="43" w16cid:durableId="2017268441">
    <w:abstractNumId w:val="34"/>
  </w:num>
  <w:num w:numId="44" w16cid:durableId="2042123397">
    <w:abstractNumId w:val="38"/>
  </w:num>
  <w:num w:numId="45" w16cid:durableId="1408189321">
    <w:abstractNumId w:val="21"/>
  </w:num>
  <w:num w:numId="46" w16cid:durableId="742795116">
    <w:abstractNumId w:val="69"/>
  </w:num>
  <w:num w:numId="47" w16cid:durableId="1805199098">
    <w:abstractNumId w:val="54"/>
  </w:num>
  <w:num w:numId="48" w16cid:durableId="1170560367">
    <w:abstractNumId w:val="63"/>
  </w:num>
  <w:num w:numId="49" w16cid:durableId="1649163571">
    <w:abstractNumId w:val="36"/>
  </w:num>
  <w:num w:numId="50" w16cid:durableId="1289624069">
    <w:abstractNumId w:val="2"/>
  </w:num>
  <w:num w:numId="51" w16cid:durableId="296692196">
    <w:abstractNumId w:val="51"/>
  </w:num>
  <w:num w:numId="52" w16cid:durableId="1012873967">
    <w:abstractNumId w:val="33"/>
  </w:num>
  <w:num w:numId="53" w16cid:durableId="3015233">
    <w:abstractNumId w:val="29"/>
  </w:num>
  <w:num w:numId="54" w16cid:durableId="447243488">
    <w:abstractNumId w:val="55"/>
  </w:num>
  <w:num w:numId="55" w16cid:durableId="1405761477">
    <w:abstractNumId w:val="24"/>
  </w:num>
  <w:num w:numId="56" w16cid:durableId="2119173600">
    <w:abstractNumId w:val="16"/>
  </w:num>
  <w:num w:numId="57" w16cid:durableId="149638734">
    <w:abstractNumId w:val="64"/>
    <w:lvlOverride w:ilvl="0">
      <w:lvl w:ilvl="0">
        <w:numFmt w:val="lowerRoman"/>
        <w:lvlText w:val="%1."/>
        <w:lvlJc w:val="right"/>
      </w:lvl>
    </w:lvlOverride>
  </w:num>
  <w:num w:numId="58" w16cid:durableId="1112360491">
    <w:abstractNumId w:val="64"/>
    <w:lvlOverride w:ilvl="0">
      <w:lvl w:ilvl="0">
        <w:numFmt w:val="lowerRoman"/>
        <w:lvlText w:val="%1."/>
        <w:lvlJc w:val="right"/>
      </w:lvl>
    </w:lvlOverride>
  </w:num>
  <w:num w:numId="59" w16cid:durableId="792018799">
    <w:abstractNumId w:val="64"/>
    <w:lvlOverride w:ilvl="0">
      <w:lvl w:ilvl="0">
        <w:numFmt w:val="lowerRoman"/>
        <w:lvlText w:val="%1."/>
        <w:lvlJc w:val="right"/>
      </w:lvl>
    </w:lvlOverride>
  </w:num>
  <w:num w:numId="60" w16cid:durableId="257375012">
    <w:abstractNumId w:val="64"/>
    <w:lvlOverride w:ilvl="0">
      <w:lvl w:ilvl="0">
        <w:numFmt w:val="lowerRoman"/>
        <w:lvlText w:val="%1."/>
        <w:lvlJc w:val="right"/>
      </w:lvl>
    </w:lvlOverride>
  </w:num>
  <w:num w:numId="61" w16cid:durableId="1338727997">
    <w:abstractNumId w:val="70"/>
    <w:lvlOverride w:ilvl="0">
      <w:lvl w:ilvl="0">
        <w:numFmt w:val="lowerRoman"/>
        <w:lvlText w:val="%1."/>
        <w:lvlJc w:val="right"/>
      </w:lvl>
    </w:lvlOverride>
  </w:num>
  <w:num w:numId="62" w16cid:durableId="1764297162">
    <w:abstractNumId w:val="70"/>
    <w:lvlOverride w:ilvl="0">
      <w:lvl w:ilvl="0">
        <w:numFmt w:val="lowerRoman"/>
        <w:lvlText w:val="%1."/>
        <w:lvlJc w:val="right"/>
      </w:lvl>
    </w:lvlOverride>
  </w:num>
  <w:num w:numId="63" w16cid:durableId="458229535">
    <w:abstractNumId w:val="70"/>
    <w:lvlOverride w:ilvl="0">
      <w:lvl w:ilvl="0">
        <w:numFmt w:val="lowerRoman"/>
        <w:lvlText w:val="%1."/>
        <w:lvlJc w:val="right"/>
      </w:lvl>
    </w:lvlOverride>
  </w:num>
  <w:num w:numId="64" w16cid:durableId="680158346">
    <w:abstractNumId w:val="26"/>
  </w:num>
  <w:num w:numId="65" w16cid:durableId="1208378405">
    <w:abstractNumId w:val="32"/>
  </w:num>
  <w:num w:numId="66" w16cid:durableId="1911427373">
    <w:abstractNumId w:val="22"/>
  </w:num>
  <w:num w:numId="67" w16cid:durableId="1210724490">
    <w:abstractNumId w:val="7"/>
    <w:lvlOverride w:ilvl="0">
      <w:lvl w:ilvl="0">
        <w:numFmt w:val="lowerRoman"/>
        <w:lvlText w:val="%1."/>
        <w:lvlJc w:val="right"/>
      </w:lvl>
    </w:lvlOverride>
  </w:num>
  <w:num w:numId="68" w16cid:durableId="904487813">
    <w:abstractNumId w:val="7"/>
    <w:lvlOverride w:ilvl="0">
      <w:lvl w:ilvl="0">
        <w:numFmt w:val="lowerRoman"/>
        <w:lvlText w:val="%1."/>
        <w:lvlJc w:val="right"/>
      </w:lvl>
    </w:lvlOverride>
  </w:num>
  <w:num w:numId="69" w16cid:durableId="1459299140">
    <w:abstractNumId w:val="7"/>
    <w:lvlOverride w:ilvl="0">
      <w:lvl w:ilvl="0">
        <w:numFmt w:val="lowerRoman"/>
        <w:lvlText w:val="%1."/>
        <w:lvlJc w:val="right"/>
      </w:lvl>
    </w:lvlOverride>
  </w:num>
  <w:num w:numId="70" w16cid:durableId="1944070059">
    <w:abstractNumId w:val="7"/>
    <w:lvlOverride w:ilvl="0">
      <w:lvl w:ilvl="0">
        <w:numFmt w:val="lowerRoman"/>
        <w:lvlText w:val="%1."/>
        <w:lvlJc w:val="right"/>
      </w:lvl>
    </w:lvlOverride>
  </w:num>
  <w:num w:numId="71" w16cid:durableId="1763526071">
    <w:abstractNumId w:val="48"/>
    <w:lvlOverride w:ilvl="0">
      <w:lvl w:ilvl="0">
        <w:numFmt w:val="lowerRoman"/>
        <w:lvlText w:val="%1."/>
        <w:lvlJc w:val="right"/>
      </w:lvl>
    </w:lvlOverride>
  </w:num>
  <w:num w:numId="72" w16cid:durableId="800608255">
    <w:abstractNumId w:val="30"/>
  </w:num>
  <w:num w:numId="73" w16cid:durableId="1138492833">
    <w:abstractNumId w:val="18"/>
  </w:num>
  <w:num w:numId="74" w16cid:durableId="626354228">
    <w:abstractNumId w:val="58"/>
  </w:num>
  <w:num w:numId="75" w16cid:durableId="2005086676">
    <w:abstractNumId w:val="35"/>
  </w:num>
  <w:num w:numId="76" w16cid:durableId="1774740799">
    <w:abstractNumId w:val="52"/>
    <w:lvlOverride w:ilvl="0">
      <w:lvl w:ilvl="0">
        <w:numFmt w:val="lowerRoman"/>
        <w:lvlText w:val="%1."/>
        <w:lvlJc w:val="right"/>
      </w:lvl>
    </w:lvlOverride>
  </w:num>
  <w:num w:numId="77" w16cid:durableId="223420510">
    <w:abstractNumId w:val="52"/>
    <w:lvlOverride w:ilvl="0">
      <w:lvl w:ilvl="0">
        <w:numFmt w:val="lowerRoman"/>
        <w:lvlText w:val="%1."/>
        <w:lvlJc w:val="right"/>
      </w:lvl>
    </w:lvlOverride>
  </w:num>
  <w:num w:numId="78" w16cid:durableId="839153515">
    <w:abstractNumId w:val="52"/>
    <w:lvlOverride w:ilvl="0">
      <w:lvl w:ilvl="0">
        <w:numFmt w:val="lowerRoman"/>
        <w:lvlText w:val="%1."/>
        <w:lvlJc w:val="right"/>
      </w:lvl>
    </w:lvlOverride>
  </w:num>
  <w:num w:numId="79" w16cid:durableId="722407399">
    <w:abstractNumId w:val="52"/>
    <w:lvlOverride w:ilvl="0">
      <w:lvl w:ilvl="0">
        <w:numFmt w:val="lowerRoman"/>
        <w:lvlText w:val="%1."/>
        <w:lvlJc w:val="right"/>
      </w:lvl>
    </w:lvlOverride>
  </w:num>
  <w:num w:numId="80" w16cid:durableId="255789691">
    <w:abstractNumId w:val="52"/>
    <w:lvlOverride w:ilvl="0">
      <w:lvl w:ilvl="0">
        <w:numFmt w:val="lowerRoman"/>
        <w:lvlText w:val="%1."/>
        <w:lvlJc w:val="right"/>
      </w:lvl>
    </w:lvlOverride>
  </w:num>
  <w:num w:numId="81" w16cid:durableId="934706887">
    <w:abstractNumId w:val="52"/>
    <w:lvlOverride w:ilvl="0">
      <w:lvl w:ilvl="0">
        <w:numFmt w:val="lowerRoman"/>
        <w:lvlText w:val="%1."/>
        <w:lvlJc w:val="right"/>
      </w:lvl>
    </w:lvlOverride>
  </w:num>
  <w:num w:numId="82" w16cid:durableId="2088069425">
    <w:abstractNumId w:val="31"/>
  </w:num>
  <w:num w:numId="83" w16cid:durableId="2144737918">
    <w:abstractNumId w:val="9"/>
  </w:num>
  <w:num w:numId="84" w16cid:durableId="1510943299">
    <w:abstractNumId w:val="8"/>
  </w:num>
  <w:num w:numId="85" w16cid:durableId="243144755">
    <w:abstractNumId w:val="67"/>
  </w:num>
  <w:num w:numId="86" w16cid:durableId="658535919">
    <w:abstractNumId w:val="45"/>
  </w:num>
  <w:num w:numId="87" w16cid:durableId="627860502">
    <w:abstractNumId w:val="41"/>
  </w:num>
  <w:num w:numId="88" w16cid:durableId="1460219467">
    <w:abstractNumId w:val="68"/>
  </w:num>
  <w:num w:numId="89" w16cid:durableId="1700816488">
    <w:abstractNumId w:val="46"/>
  </w:num>
  <w:num w:numId="90" w16cid:durableId="211575541">
    <w:abstractNumId w:val="71"/>
  </w:num>
  <w:num w:numId="91" w16cid:durableId="11391559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2241"/>
    <w:rsid w:val="000037AF"/>
    <w:rsid w:val="00004159"/>
    <w:rsid w:val="00004353"/>
    <w:rsid w:val="00004DDE"/>
    <w:rsid w:val="00010A36"/>
    <w:rsid w:val="0001139B"/>
    <w:rsid w:val="00011D2F"/>
    <w:rsid w:val="00014692"/>
    <w:rsid w:val="00016D29"/>
    <w:rsid w:val="000205CC"/>
    <w:rsid w:val="000221A7"/>
    <w:rsid w:val="00022921"/>
    <w:rsid w:val="00022F38"/>
    <w:rsid w:val="00023079"/>
    <w:rsid w:val="00023129"/>
    <w:rsid w:val="000243D9"/>
    <w:rsid w:val="000245FF"/>
    <w:rsid w:val="000252D0"/>
    <w:rsid w:val="00025A76"/>
    <w:rsid w:val="00030E34"/>
    <w:rsid w:val="000311B9"/>
    <w:rsid w:val="000318E6"/>
    <w:rsid w:val="0003348A"/>
    <w:rsid w:val="00034A74"/>
    <w:rsid w:val="00034B85"/>
    <w:rsid w:val="00035967"/>
    <w:rsid w:val="000404A8"/>
    <w:rsid w:val="00041ED0"/>
    <w:rsid w:val="00041F71"/>
    <w:rsid w:val="000450EC"/>
    <w:rsid w:val="00050C83"/>
    <w:rsid w:val="00055654"/>
    <w:rsid w:val="00055719"/>
    <w:rsid w:val="00055C12"/>
    <w:rsid w:val="000608FB"/>
    <w:rsid w:val="00060904"/>
    <w:rsid w:val="00060C8D"/>
    <w:rsid w:val="0006256F"/>
    <w:rsid w:val="00062599"/>
    <w:rsid w:val="00063802"/>
    <w:rsid w:val="0007026A"/>
    <w:rsid w:val="000721F8"/>
    <w:rsid w:val="00072A04"/>
    <w:rsid w:val="00073B16"/>
    <w:rsid w:val="00073F4D"/>
    <w:rsid w:val="00082886"/>
    <w:rsid w:val="00082E37"/>
    <w:rsid w:val="00083F90"/>
    <w:rsid w:val="000840D4"/>
    <w:rsid w:val="000872BC"/>
    <w:rsid w:val="000903A8"/>
    <w:rsid w:val="00091FCF"/>
    <w:rsid w:val="0009242D"/>
    <w:rsid w:val="00092D28"/>
    <w:rsid w:val="00093345"/>
    <w:rsid w:val="000976A9"/>
    <w:rsid w:val="00097902"/>
    <w:rsid w:val="000A0784"/>
    <w:rsid w:val="000A089B"/>
    <w:rsid w:val="000A284A"/>
    <w:rsid w:val="000A40AA"/>
    <w:rsid w:val="000A4B8F"/>
    <w:rsid w:val="000A541C"/>
    <w:rsid w:val="000A6ABC"/>
    <w:rsid w:val="000B2FAD"/>
    <w:rsid w:val="000B3A31"/>
    <w:rsid w:val="000B3FB2"/>
    <w:rsid w:val="000B4209"/>
    <w:rsid w:val="000B60E8"/>
    <w:rsid w:val="000B75FA"/>
    <w:rsid w:val="000B7BE4"/>
    <w:rsid w:val="000C309D"/>
    <w:rsid w:val="000C40DC"/>
    <w:rsid w:val="000C478D"/>
    <w:rsid w:val="000D4A49"/>
    <w:rsid w:val="000D561C"/>
    <w:rsid w:val="000E092F"/>
    <w:rsid w:val="000E2273"/>
    <w:rsid w:val="000E494A"/>
    <w:rsid w:val="000E568E"/>
    <w:rsid w:val="000E677F"/>
    <w:rsid w:val="000E7DAA"/>
    <w:rsid w:val="000F2253"/>
    <w:rsid w:val="000F3086"/>
    <w:rsid w:val="000F435A"/>
    <w:rsid w:val="000F45F9"/>
    <w:rsid w:val="000F6230"/>
    <w:rsid w:val="000F7A59"/>
    <w:rsid w:val="00101D42"/>
    <w:rsid w:val="00102041"/>
    <w:rsid w:val="00103C38"/>
    <w:rsid w:val="00104145"/>
    <w:rsid w:val="001127F4"/>
    <w:rsid w:val="0011342C"/>
    <w:rsid w:val="001148B5"/>
    <w:rsid w:val="001160B1"/>
    <w:rsid w:val="001170F1"/>
    <w:rsid w:val="00117E40"/>
    <w:rsid w:val="0012457E"/>
    <w:rsid w:val="00124B84"/>
    <w:rsid w:val="00130ECC"/>
    <w:rsid w:val="001322E7"/>
    <w:rsid w:val="00132E57"/>
    <w:rsid w:val="00132F7F"/>
    <w:rsid w:val="00132F89"/>
    <w:rsid w:val="00137CD3"/>
    <w:rsid w:val="00141D4A"/>
    <w:rsid w:val="00142600"/>
    <w:rsid w:val="00143AC9"/>
    <w:rsid w:val="00144233"/>
    <w:rsid w:val="001443C3"/>
    <w:rsid w:val="001457E5"/>
    <w:rsid w:val="00151E19"/>
    <w:rsid w:val="0015318A"/>
    <w:rsid w:val="001537E2"/>
    <w:rsid w:val="00156B48"/>
    <w:rsid w:val="00163B8D"/>
    <w:rsid w:val="00164197"/>
    <w:rsid w:val="001648C1"/>
    <w:rsid w:val="00166B91"/>
    <w:rsid w:val="001677A7"/>
    <w:rsid w:val="00174299"/>
    <w:rsid w:val="001754E8"/>
    <w:rsid w:val="0017603A"/>
    <w:rsid w:val="00176578"/>
    <w:rsid w:val="00176FE0"/>
    <w:rsid w:val="001815E2"/>
    <w:rsid w:val="00181D1E"/>
    <w:rsid w:val="00182A62"/>
    <w:rsid w:val="00183CF7"/>
    <w:rsid w:val="001840A3"/>
    <w:rsid w:val="00185A3C"/>
    <w:rsid w:val="001919D6"/>
    <w:rsid w:val="00192502"/>
    <w:rsid w:val="00193F55"/>
    <w:rsid w:val="0019610D"/>
    <w:rsid w:val="00197AC0"/>
    <w:rsid w:val="001A510E"/>
    <w:rsid w:val="001A5268"/>
    <w:rsid w:val="001A5751"/>
    <w:rsid w:val="001A5B86"/>
    <w:rsid w:val="001A6280"/>
    <w:rsid w:val="001A6935"/>
    <w:rsid w:val="001A7174"/>
    <w:rsid w:val="001A7B17"/>
    <w:rsid w:val="001B19A8"/>
    <w:rsid w:val="001B221F"/>
    <w:rsid w:val="001B2B56"/>
    <w:rsid w:val="001B3584"/>
    <w:rsid w:val="001B3BC8"/>
    <w:rsid w:val="001B7EA8"/>
    <w:rsid w:val="001C33E2"/>
    <w:rsid w:val="001C43BA"/>
    <w:rsid w:val="001D1F61"/>
    <w:rsid w:val="001D2EED"/>
    <w:rsid w:val="001D3C2C"/>
    <w:rsid w:val="001D69A4"/>
    <w:rsid w:val="001D759C"/>
    <w:rsid w:val="001E0B8C"/>
    <w:rsid w:val="001E40E0"/>
    <w:rsid w:val="001E561C"/>
    <w:rsid w:val="001F05C7"/>
    <w:rsid w:val="001F734C"/>
    <w:rsid w:val="001F7BAD"/>
    <w:rsid w:val="0020028D"/>
    <w:rsid w:val="00201D41"/>
    <w:rsid w:val="00203814"/>
    <w:rsid w:val="00205B49"/>
    <w:rsid w:val="00206AD5"/>
    <w:rsid w:val="00210222"/>
    <w:rsid w:val="00210A6E"/>
    <w:rsid w:val="00212FC9"/>
    <w:rsid w:val="00213254"/>
    <w:rsid w:val="00213925"/>
    <w:rsid w:val="0022163F"/>
    <w:rsid w:val="002217D5"/>
    <w:rsid w:val="00225D41"/>
    <w:rsid w:val="002264E9"/>
    <w:rsid w:val="00226B22"/>
    <w:rsid w:val="00227430"/>
    <w:rsid w:val="00227D03"/>
    <w:rsid w:val="00230938"/>
    <w:rsid w:val="00230CFF"/>
    <w:rsid w:val="0023117C"/>
    <w:rsid w:val="002317DA"/>
    <w:rsid w:val="00231F6E"/>
    <w:rsid w:val="00231FB8"/>
    <w:rsid w:val="00232A1F"/>
    <w:rsid w:val="0023336C"/>
    <w:rsid w:val="0023645A"/>
    <w:rsid w:val="002368BA"/>
    <w:rsid w:val="00236CA3"/>
    <w:rsid w:val="0024243D"/>
    <w:rsid w:val="002453D7"/>
    <w:rsid w:val="002533D5"/>
    <w:rsid w:val="00253A5F"/>
    <w:rsid w:val="00256D56"/>
    <w:rsid w:val="002638D6"/>
    <w:rsid w:val="00270D0A"/>
    <w:rsid w:val="00271608"/>
    <w:rsid w:val="0027430D"/>
    <w:rsid w:val="002773C7"/>
    <w:rsid w:val="0028154B"/>
    <w:rsid w:val="00282B8B"/>
    <w:rsid w:val="0028622F"/>
    <w:rsid w:val="002867DE"/>
    <w:rsid w:val="00290435"/>
    <w:rsid w:val="002914A1"/>
    <w:rsid w:val="00291FFC"/>
    <w:rsid w:val="0029357B"/>
    <w:rsid w:val="0029414A"/>
    <w:rsid w:val="00295227"/>
    <w:rsid w:val="00296AD5"/>
    <w:rsid w:val="002A2D50"/>
    <w:rsid w:val="002A32F6"/>
    <w:rsid w:val="002B2067"/>
    <w:rsid w:val="002B217F"/>
    <w:rsid w:val="002B311B"/>
    <w:rsid w:val="002B31C2"/>
    <w:rsid w:val="002B40A4"/>
    <w:rsid w:val="002B500D"/>
    <w:rsid w:val="002B53E6"/>
    <w:rsid w:val="002B7185"/>
    <w:rsid w:val="002B7807"/>
    <w:rsid w:val="002B785F"/>
    <w:rsid w:val="002B7E71"/>
    <w:rsid w:val="002C0FEA"/>
    <w:rsid w:val="002C1EEE"/>
    <w:rsid w:val="002C405A"/>
    <w:rsid w:val="002C4225"/>
    <w:rsid w:val="002C663C"/>
    <w:rsid w:val="002D0A6A"/>
    <w:rsid w:val="002D1B99"/>
    <w:rsid w:val="002D2765"/>
    <w:rsid w:val="002D2AC7"/>
    <w:rsid w:val="002D2DF9"/>
    <w:rsid w:val="002D333A"/>
    <w:rsid w:val="002D5B01"/>
    <w:rsid w:val="002E1A3C"/>
    <w:rsid w:val="002E7A20"/>
    <w:rsid w:val="002F07B3"/>
    <w:rsid w:val="002F341C"/>
    <w:rsid w:val="003011AF"/>
    <w:rsid w:val="00302E27"/>
    <w:rsid w:val="00306D8B"/>
    <w:rsid w:val="0030750F"/>
    <w:rsid w:val="003075EE"/>
    <w:rsid w:val="00310191"/>
    <w:rsid w:val="00311298"/>
    <w:rsid w:val="003117E7"/>
    <w:rsid w:val="0031285F"/>
    <w:rsid w:val="003147D3"/>
    <w:rsid w:val="00315B15"/>
    <w:rsid w:val="00315BDB"/>
    <w:rsid w:val="00320589"/>
    <w:rsid w:val="00320830"/>
    <w:rsid w:val="00323616"/>
    <w:rsid w:val="0032574F"/>
    <w:rsid w:val="00325B5E"/>
    <w:rsid w:val="00326577"/>
    <w:rsid w:val="00326775"/>
    <w:rsid w:val="00330B43"/>
    <w:rsid w:val="00334A4B"/>
    <w:rsid w:val="00334C0E"/>
    <w:rsid w:val="00335AAA"/>
    <w:rsid w:val="00341CE8"/>
    <w:rsid w:val="00345C17"/>
    <w:rsid w:val="00345CE5"/>
    <w:rsid w:val="0034749E"/>
    <w:rsid w:val="00350648"/>
    <w:rsid w:val="00351DD0"/>
    <w:rsid w:val="00352D36"/>
    <w:rsid w:val="00353DF2"/>
    <w:rsid w:val="003544A2"/>
    <w:rsid w:val="003559DC"/>
    <w:rsid w:val="00356410"/>
    <w:rsid w:val="00360DAA"/>
    <w:rsid w:val="00361261"/>
    <w:rsid w:val="00361C38"/>
    <w:rsid w:val="003674F4"/>
    <w:rsid w:val="00367EF8"/>
    <w:rsid w:val="00367FBF"/>
    <w:rsid w:val="0037029A"/>
    <w:rsid w:val="0037118C"/>
    <w:rsid w:val="00371761"/>
    <w:rsid w:val="003722E2"/>
    <w:rsid w:val="00372AAA"/>
    <w:rsid w:val="00372AF8"/>
    <w:rsid w:val="00373A7A"/>
    <w:rsid w:val="00374E68"/>
    <w:rsid w:val="00375C3C"/>
    <w:rsid w:val="00376E45"/>
    <w:rsid w:val="00382C5D"/>
    <w:rsid w:val="00382F0D"/>
    <w:rsid w:val="0038619E"/>
    <w:rsid w:val="0038748F"/>
    <w:rsid w:val="00395C76"/>
    <w:rsid w:val="003975E2"/>
    <w:rsid w:val="003A3351"/>
    <w:rsid w:val="003A6BC6"/>
    <w:rsid w:val="003B05D8"/>
    <w:rsid w:val="003B1868"/>
    <w:rsid w:val="003B361E"/>
    <w:rsid w:val="003B37EB"/>
    <w:rsid w:val="003B403A"/>
    <w:rsid w:val="003C073B"/>
    <w:rsid w:val="003C2113"/>
    <w:rsid w:val="003C28EF"/>
    <w:rsid w:val="003C657E"/>
    <w:rsid w:val="003C69BB"/>
    <w:rsid w:val="003C72FA"/>
    <w:rsid w:val="003C752D"/>
    <w:rsid w:val="003D1B86"/>
    <w:rsid w:val="003D4509"/>
    <w:rsid w:val="003D4A38"/>
    <w:rsid w:val="003D6978"/>
    <w:rsid w:val="003D7262"/>
    <w:rsid w:val="003E0C0A"/>
    <w:rsid w:val="003E143E"/>
    <w:rsid w:val="003E171D"/>
    <w:rsid w:val="003E3904"/>
    <w:rsid w:val="003E435C"/>
    <w:rsid w:val="003E4E5F"/>
    <w:rsid w:val="003E506E"/>
    <w:rsid w:val="003E5B64"/>
    <w:rsid w:val="003E5FAD"/>
    <w:rsid w:val="003E6057"/>
    <w:rsid w:val="003F1315"/>
    <w:rsid w:val="003F1DD6"/>
    <w:rsid w:val="003F35A0"/>
    <w:rsid w:val="003F406B"/>
    <w:rsid w:val="003F6804"/>
    <w:rsid w:val="003F7838"/>
    <w:rsid w:val="00400A92"/>
    <w:rsid w:val="004012DD"/>
    <w:rsid w:val="00407E79"/>
    <w:rsid w:val="00410EAB"/>
    <w:rsid w:val="00411C90"/>
    <w:rsid w:val="004122E6"/>
    <w:rsid w:val="0041236D"/>
    <w:rsid w:val="00414610"/>
    <w:rsid w:val="00415A64"/>
    <w:rsid w:val="00416748"/>
    <w:rsid w:val="00416765"/>
    <w:rsid w:val="00416834"/>
    <w:rsid w:val="0041734A"/>
    <w:rsid w:val="0041769C"/>
    <w:rsid w:val="00417D62"/>
    <w:rsid w:val="00417EA6"/>
    <w:rsid w:val="0042062D"/>
    <w:rsid w:val="0042063D"/>
    <w:rsid w:val="00422A66"/>
    <w:rsid w:val="00422D91"/>
    <w:rsid w:val="004246D7"/>
    <w:rsid w:val="00426E64"/>
    <w:rsid w:val="00431670"/>
    <w:rsid w:val="0043401D"/>
    <w:rsid w:val="00440235"/>
    <w:rsid w:val="004405A2"/>
    <w:rsid w:val="004423ED"/>
    <w:rsid w:val="004438A0"/>
    <w:rsid w:val="00443A1E"/>
    <w:rsid w:val="00443DE5"/>
    <w:rsid w:val="00444DFC"/>
    <w:rsid w:val="004504E2"/>
    <w:rsid w:val="00454BBF"/>
    <w:rsid w:val="004572B8"/>
    <w:rsid w:val="0046039B"/>
    <w:rsid w:val="0046163B"/>
    <w:rsid w:val="00462F3E"/>
    <w:rsid w:val="00464006"/>
    <w:rsid w:val="00465552"/>
    <w:rsid w:val="0046627E"/>
    <w:rsid w:val="00470871"/>
    <w:rsid w:val="00470D54"/>
    <w:rsid w:val="00471EF8"/>
    <w:rsid w:val="0047212F"/>
    <w:rsid w:val="00472670"/>
    <w:rsid w:val="0047346A"/>
    <w:rsid w:val="0047375F"/>
    <w:rsid w:val="00475905"/>
    <w:rsid w:val="0048023C"/>
    <w:rsid w:val="00481ECD"/>
    <w:rsid w:val="00482924"/>
    <w:rsid w:val="00483DC8"/>
    <w:rsid w:val="0048479C"/>
    <w:rsid w:val="0048480D"/>
    <w:rsid w:val="004924EF"/>
    <w:rsid w:val="00495BED"/>
    <w:rsid w:val="00496C17"/>
    <w:rsid w:val="00497863"/>
    <w:rsid w:val="004A0485"/>
    <w:rsid w:val="004A09E5"/>
    <w:rsid w:val="004A3F4B"/>
    <w:rsid w:val="004A6791"/>
    <w:rsid w:val="004B0F4E"/>
    <w:rsid w:val="004B138A"/>
    <w:rsid w:val="004B314B"/>
    <w:rsid w:val="004B3DBB"/>
    <w:rsid w:val="004B47A5"/>
    <w:rsid w:val="004B5FED"/>
    <w:rsid w:val="004B6C70"/>
    <w:rsid w:val="004C1292"/>
    <w:rsid w:val="004C4B5A"/>
    <w:rsid w:val="004C776C"/>
    <w:rsid w:val="004C7F1B"/>
    <w:rsid w:val="004D07A5"/>
    <w:rsid w:val="004D1A51"/>
    <w:rsid w:val="004D4E1B"/>
    <w:rsid w:val="004D779B"/>
    <w:rsid w:val="004E2234"/>
    <w:rsid w:val="004E2290"/>
    <w:rsid w:val="004E3EB7"/>
    <w:rsid w:val="004E5C99"/>
    <w:rsid w:val="004E74DA"/>
    <w:rsid w:val="004E7B8C"/>
    <w:rsid w:val="004F2F6A"/>
    <w:rsid w:val="004F56B3"/>
    <w:rsid w:val="004F607E"/>
    <w:rsid w:val="00500E0C"/>
    <w:rsid w:val="00501064"/>
    <w:rsid w:val="00501590"/>
    <w:rsid w:val="00503444"/>
    <w:rsid w:val="00510408"/>
    <w:rsid w:val="00515249"/>
    <w:rsid w:val="00515888"/>
    <w:rsid w:val="0051660B"/>
    <w:rsid w:val="00517014"/>
    <w:rsid w:val="005219C4"/>
    <w:rsid w:val="00523D35"/>
    <w:rsid w:val="00533B25"/>
    <w:rsid w:val="00533C38"/>
    <w:rsid w:val="0053467A"/>
    <w:rsid w:val="00534B22"/>
    <w:rsid w:val="00534D91"/>
    <w:rsid w:val="005357B2"/>
    <w:rsid w:val="00536138"/>
    <w:rsid w:val="0053654D"/>
    <w:rsid w:val="00536632"/>
    <w:rsid w:val="00542AB8"/>
    <w:rsid w:val="00542AC9"/>
    <w:rsid w:val="00544182"/>
    <w:rsid w:val="00545BDD"/>
    <w:rsid w:val="00550422"/>
    <w:rsid w:val="00552306"/>
    <w:rsid w:val="00552AAE"/>
    <w:rsid w:val="00553970"/>
    <w:rsid w:val="00554665"/>
    <w:rsid w:val="005610CE"/>
    <w:rsid w:val="0056115B"/>
    <w:rsid w:val="00563E48"/>
    <w:rsid w:val="00566697"/>
    <w:rsid w:val="00566E89"/>
    <w:rsid w:val="00567CFD"/>
    <w:rsid w:val="00570EF9"/>
    <w:rsid w:val="00571B18"/>
    <w:rsid w:val="00574108"/>
    <w:rsid w:val="005767A3"/>
    <w:rsid w:val="00577B18"/>
    <w:rsid w:val="005812C1"/>
    <w:rsid w:val="0058673C"/>
    <w:rsid w:val="00586B3B"/>
    <w:rsid w:val="00590C3B"/>
    <w:rsid w:val="00594565"/>
    <w:rsid w:val="00594FDB"/>
    <w:rsid w:val="00596531"/>
    <w:rsid w:val="00596683"/>
    <w:rsid w:val="00597605"/>
    <w:rsid w:val="00597D23"/>
    <w:rsid w:val="005A1AFE"/>
    <w:rsid w:val="005A20B6"/>
    <w:rsid w:val="005A2560"/>
    <w:rsid w:val="005A526C"/>
    <w:rsid w:val="005B01E8"/>
    <w:rsid w:val="005B0584"/>
    <w:rsid w:val="005B20C5"/>
    <w:rsid w:val="005B4E83"/>
    <w:rsid w:val="005C0830"/>
    <w:rsid w:val="005C305E"/>
    <w:rsid w:val="005C4CAB"/>
    <w:rsid w:val="005C6088"/>
    <w:rsid w:val="005C68ED"/>
    <w:rsid w:val="005C7B51"/>
    <w:rsid w:val="005C7CD4"/>
    <w:rsid w:val="005D3A14"/>
    <w:rsid w:val="005D5895"/>
    <w:rsid w:val="005E09D5"/>
    <w:rsid w:val="005E0B58"/>
    <w:rsid w:val="005E0DFB"/>
    <w:rsid w:val="005E1CF2"/>
    <w:rsid w:val="005E2BD5"/>
    <w:rsid w:val="005E6899"/>
    <w:rsid w:val="005E6D3E"/>
    <w:rsid w:val="005E6F64"/>
    <w:rsid w:val="005E7C51"/>
    <w:rsid w:val="005E7EA3"/>
    <w:rsid w:val="005E7EB8"/>
    <w:rsid w:val="005F2548"/>
    <w:rsid w:val="005F59F2"/>
    <w:rsid w:val="005F5B72"/>
    <w:rsid w:val="005F7B80"/>
    <w:rsid w:val="005F7BA8"/>
    <w:rsid w:val="0060051A"/>
    <w:rsid w:val="00602D10"/>
    <w:rsid w:val="006138EE"/>
    <w:rsid w:val="00614F5E"/>
    <w:rsid w:val="00615365"/>
    <w:rsid w:val="00615AAB"/>
    <w:rsid w:val="00617649"/>
    <w:rsid w:val="00617A0B"/>
    <w:rsid w:val="00617E88"/>
    <w:rsid w:val="00620742"/>
    <w:rsid w:val="00622603"/>
    <w:rsid w:val="0062328A"/>
    <w:rsid w:val="00624084"/>
    <w:rsid w:val="006251E2"/>
    <w:rsid w:val="00626712"/>
    <w:rsid w:val="006268BF"/>
    <w:rsid w:val="00631E57"/>
    <w:rsid w:val="006335B8"/>
    <w:rsid w:val="006356FA"/>
    <w:rsid w:val="00643EFA"/>
    <w:rsid w:val="006449FF"/>
    <w:rsid w:val="00651062"/>
    <w:rsid w:val="00654900"/>
    <w:rsid w:val="00654FDF"/>
    <w:rsid w:val="006558BA"/>
    <w:rsid w:val="00661EE8"/>
    <w:rsid w:val="006626DD"/>
    <w:rsid w:val="00663C92"/>
    <w:rsid w:val="006651F8"/>
    <w:rsid w:val="00665A32"/>
    <w:rsid w:val="00665B23"/>
    <w:rsid w:val="00665E8D"/>
    <w:rsid w:val="00667A59"/>
    <w:rsid w:val="00671565"/>
    <w:rsid w:val="00671AC9"/>
    <w:rsid w:val="00672951"/>
    <w:rsid w:val="00674EFD"/>
    <w:rsid w:val="006751D0"/>
    <w:rsid w:val="0067664F"/>
    <w:rsid w:val="00677DDF"/>
    <w:rsid w:val="0068083B"/>
    <w:rsid w:val="00680D15"/>
    <w:rsid w:val="0068511F"/>
    <w:rsid w:val="00685D1A"/>
    <w:rsid w:val="006874F7"/>
    <w:rsid w:val="0069020B"/>
    <w:rsid w:val="0069188A"/>
    <w:rsid w:val="00692759"/>
    <w:rsid w:val="00692F85"/>
    <w:rsid w:val="00694B81"/>
    <w:rsid w:val="0069525B"/>
    <w:rsid w:val="00696B41"/>
    <w:rsid w:val="00697895"/>
    <w:rsid w:val="00697EAE"/>
    <w:rsid w:val="006A45BA"/>
    <w:rsid w:val="006A7BB6"/>
    <w:rsid w:val="006B10B2"/>
    <w:rsid w:val="006B14E6"/>
    <w:rsid w:val="006B502D"/>
    <w:rsid w:val="006B565C"/>
    <w:rsid w:val="006B5A8C"/>
    <w:rsid w:val="006C0CAD"/>
    <w:rsid w:val="006D01BA"/>
    <w:rsid w:val="006D21CE"/>
    <w:rsid w:val="006D3933"/>
    <w:rsid w:val="006D3BF8"/>
    <w:rsid w:val="006D3E34"/>
    <w:rsid w:val="006D45D7"/>
    <w:rsid w:val="006D4C8B"/>
    <w:rsid w:val="006D5B2D"/>
    <w:rsid w:val="006D5EE2"/>
    <w:rsid w:val="006E3069"/>
    <w:rsid w:val="006F0CFA"/>
    <w:rsid w:val="006F1F09"/>
    <w:rsid w:val="006F32D4"/>
    <w:rsid w:val="006F63DF"/>
    <w:rsid w:val="006F651E"/>
    <w:rsid w:val="006F764A"/>
    <w:rsid w:val="006F77AF"/>
    <w:rsid w:val="006F7B8A"/>
    <w:rsid w:val="00701449"/>
    <w:rsid w:val="00702E8C"/>
    <w:rsid w:val="007037B2"/>
    <w:rsid w:val="00704CA9"/>
    <w:rsid w:val="00704E39"/>
    <w:rsid w:val="00704ED6"/>
    <w:rsid w:val="007068A3"/>
    <w:rsid w:val="00707E10"/>
    <w:rsid w:val="00710CC1"/>
    <w:rsid w:val="00711EC0"/>
    <w:rsid w:val="00713629"/>
    <w:rsid w:val="007157D9"/>
    <w:rsid w:val="00716611"/>
    <w:rsid w:val="00721CD5"/>
    <w:rsid w:val="00723348"/>
    <w:rsid w:val="00723F71"/>
    <w:rsid w:val="00725E79"/>
    <w:rsid w:val="00726434"/>
    <w:rsid w:val="00730BF8"/>
    <w:rsid w:val="00730C89"/>
    <w:rsid w:val="00730FD1"/>
    <w:rsid w:val="00731526"/>
    <w:rsid w:val="00732246"/>
    <w:rsid w:val="00733D25"/>
    <w:rsid w:val="00734CB4"/>
    <w:rsid w:val="00737AD6"/>
    <w:rsid w:val="0074143E"/>
    <w:rsid w:val="00742C26"/>
    <w:rsid w:val="007458E4"/>
    <w:rsid w:val="007506FC"/>
    <w:rsid w:val="00751385"/>
    <w:rsid w:val="00753C81"/>
    <w:rsid w:val="00755552"/>
    <w:rsid w:val="00757D77"/>
    <w:rsid w:val="00762267"/>
    <w:rsid w:val="007623D6"/>
    <w:rsid w:val="00762C57"/>
    <w:rsid w:val="007641F6"/>
    <w:rsid w:val="007645BD"/>
    <w:rsid w:val="00764A70"/>
    <w:rsid w:val="0076729A"/>
    <w:rsid w:val="00767321"/>
    <w:rsid w:val="007712F5"/>
    <w:rsid w:val="00771BAF"/>
    <w:rsid w:val="0077224D"/>
    <w:rsid w:val="00774A9B"/>
    <w:rsid w:val="00776AB0"/>
    <w:rsid w:val="0077785B"/>
    <w:rsid w:val="00782197"/>
    <w:rsid w:val="00785202"/>
    <w:rsid w:val="00785CF1"/>
    <w:rsid w:val="0078767B"/>
    <w:rsid w:val="00791F6E"/>
    <w:rsid w:val="00792443"/>
    <w:rsid w:val="00793259"/>
    <w:rsid w:val="0079385F"/>
    <w:rsid w:val="00795BA9"/>
    <w:rsid w:val="007A1414"/>
    <w:rsid w:val="007A1AF8"/>
    <w:rsid w:val="007A1D4C"/>
    <w:rsid w:val="007A2031"/>
    <w:rsid w:val="007A28B8"/>
    <w:rsid w:val="007A3693"/>
    <w:rsid w:val="007A36FF"/>
    <w:rsid w:val="007A4932"/>
    <w:rsid w:val="007A559A"/>
    <w:rsid w:val="007A72CC"/>
    <w:rsid w:val="007B1082"/>
    <w:rsid w:val="007B3CC5"/>
    <w:rsid w:val="007C056A"/>
    <w:rsid w:val="007C2063"/>
    <w:rsid w:val="007C2569"/>
    <w:rsid w:val="007C546D"/>
    <w:rsid w:val="007C7190"/>
    <w:rsid w:val="007C7D68"/>
    <w:rsid w:val="007D0BCA"/>
    <w:rsid w:val="007D4484"/>
    <w:rsid w:val="007D687E"/>
    <w:rsid w:val="007E026A"/>
    <w:rsid w:val="007E118D"/>
    <w:rsid w:val="007E18E2"/>
    <w:rsid w:val="007F0E26"/>
    <w:rsid w:val="007F1113"/>
    <w:rsid w:val="007F3BEB"/>
    <w:rsid w:val="007F4DCB"/>
    <w:rsid w:val="007F6F70"/>
    <w:rsid w:val="00802888"/>
    <w:rsid w:val="00803F80"/>
    <w:rsid w:val="008044B5"/>
    <w:rsid w:val="00804B50"/>
    <w:rsid w:val="008104A5"/>
    <w:rsid w:val="008117D0"/>
    <w:rsid w:val="00812025"/>
    <w:rsid w:val="00814543"/>
    <w:rsid w:val="008166FA"/>
    <w:rsid w:val="00816BC7"/>
    <w:rsid w:val="008202A4"/>
    <w:rsid w:val="00820436"/>
    <w:rsid w:val="00821C1E"/>
    <w:rsid w:val="00823F0C"/>
    <w:rsid w:val="0082435B"/>
    <w:rsid w:val="00824F42"/>
    <w:rsid w:val="00825776"/>
    <w:rsid w:val="008302DB"/>
    <w:rsid w:val="0083082E"/>
    <w:rsid w:val="008353B3"/>
    <w:rsid w:val="008377F5"/>
    <w:rsid w:val="00837FEE"/>
    <w:rsid w:val="00840613"/>
    <w:rsid w:val="00840D90"/>
    <w:rsid w:val="00842845"/>
    <w:rsid w:val="00851ECD"/>
    <w:rsid w:val="008522F9"/>
    <w:rsid w:val="0085297C"/>
    <w:rsid w:val="00853E22"/>
    <w:rsid w:val="008542B4"/>
    <w:rsid w:val="00854D68"/>
    <w:rsid w:val="00855526"/>
    <w:rsid w:val="008577C6"/>
    <w:rsid w:val="00861FB0"/>
    <w:rsid w:val="0086386C"/>
    <w:rsid w:val="00864C74"/>
    <w:rsid w:val="00865DC0"/>
    <w:rsid w:val="008677CD"/>
    <w:rsid w:val="0087285A"/>
    <w:rsid w:val="0087762B"/>
    <w:rsid w:val="00881587"/>
    <w:rsid w:val="0088382A"/>
    <w:rsid w:val="008854E2"/>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21FB"/>
    <w:rsid w:val="008A24AD"/>
    <w:rsid w:val="008A3161"/>
    <w:rsid w:val="008A4DCA"/>
    <w:rsid w:val="008A51FC"/>
    <w:rsid w:val="008A5844"/>
    <w:rsid w:val="008A6445"/>
    <w:rsid w:val="008B031D"/>
    <w:rsid w:val="008B0538"/>
    <w:rsid w:val="008B062E"/>
    <w:rsid w:val="008B31A1"/>
    <w:rsid w:val="008B4028"/>
    <w:rsid w:val="008B5C74"/>
    <w:rsid w:val="008B716C"/>
    <w:rsid w:val="008B75CB"/>
    <w:rsid w:val="008C147A"/>
    <w:rsid w:val="008C27E1"/>
    <w:rsid w:val="008C29D5"/>
    <w:rsid w:val="008C3BDB"/>
    <w:rsid w:val="008C5693"/>
    <w:rsid w:val="008D2063"/>
    <w:rsid w:val="008D4427"/>
    <w:rsid w:val="008D4BF8"/>
    <w:rsid w:val="008D52E5"/>
    <w:rsid w:val="008D58A0"/>
    <w:rsid w:val="008D6EA2"/>
    <w:rsid w:val="008E2DDA"/>
    <w:rsid w:val="008F0BAA"/>
    <w:rsid w:val="008F1A96"/>
    <w:rsid w:val="008F404E"/>
    <w:rsid w:val="009000B2"/>
    <w:rsid w:val="00903DD0"/>
    <w:rsid w:val="009043EB"/>
    <w:rsid w:val="0090658C"/>
    <w:rsid w:val="00910448"/>
    <w:rsid w:val="009121AD"/>
    <w:rsid w:val="00913473"/>
    <w:rsid w:val="00913B7B"/>
    <w:rsid w:val="009141F3"/>
    <w:rsid w:val="00914661"/>
    <w:rsid w:val="00915A81"/>
    <w:rsid w:val="009169BF"/>
    <w:rsid w:val="00921C2C"/>
    <w:rsid w:val="0092377C"/>
    <w:rsid w:val="00927547"/>
    <w:rsid w:val="00930F92"/>
    <w:rsid w:val="0093244D"/>
    <w:rsid w:val="00933004"/>
    <w:rsid w:val="009342F2"/>
    <w:rsid w:val="00934D1D"/>
    <w:rsid w:val="00935685"/>
    <w:rsid w:val="00941576"/>
    <w:rsid w:val="0094350E"/>
    <w:rsid w:val="00950696"/>
    <w:rsid w:val="00953A11"/>
    <w:rsid w:val="00956A68"/>
    <w:rsid w:val="00957560"/>
    <w:rsid w:val="0096034E"/>
    <w:rsid w:val="0096071D"/>
    <w:rsid w:val="00960935"/>
    <w:rsid w:val="009612CB"/>
    <w:rsid w:val="0096242B"/>
    <w:rsid w:val="0096336F"/>
    <w:rsid w:val="00964294"/>
    <w:rsid w:val="00964536"/>
    <w:rsid w:val="009723CB"/>
    <w:rsid w:val="00975A68"/>
    <w:rsid w:val="00977508"/>
    <w:rsid w:val="00977967"/>
    <w:rsid w:val="00977CDD"/>
    <w:rsid w:val="00980712"/>
    <w:rsid w:val="00980B61"/>
    <w:rsid w:val="009852C6"/>
    <w:rsid w:val="00985984"/>
    <w:rsid w:val="00985E9C"/>
    <w:rsid w:val="00991978"/>
    <w:rsid w:val="00992A6E"/>
    <w:rsid w:val="00995342"/>
    <w:rsid w:val="0099728B"/>
    <w:rsid w:val="009A1248"/>
    <w:rsid w:val="009A711B"/>
    <w:rsid w:val="009A7939"/>
    <w:rsid w:val="009B0A33"/>
    <w:rsid w:val="009B0F40"/>
    <w:rsid w:val="009B10C7"/>
    <w:rsid w:val="009B1474"/>
    <w:rsid w:val="009B605C"/>
    <w:rsid w:val="009B73B6"/>
    <w:rsid w:val="009C0BB4"/>
    <w:rsid w:val="009C102A"/>
    <w:rsid w:val="009C2357"/>
    <w:rsid w:val="009C23CA"/>
    <w:rsid w:val="009C5A50"/>
    <w:rsid w:val="009C7169"/>
    <w:rsid w:val="009C7406"/>
    <w:rsid w:val="009C761F"/>
    <w:rsid w:val="009C78B1"/>
    <w:rsid w:val="009D1B2E"/>
    <w:rsid w:val="009D643D"/>
    <w:rsid w:val="009D7200"/>
    <w:rsid w:val="009E1D7A"/>
    <w:rsid w:val="009E37EF"/>
    <w:rsid w:val="009E40A9"/>
    <w:rsid w:val="009F1085"/>
    <w:rsid w:val="009F15E0"/>
    <w:rsid w:val="009F592D"/>
    <w:rsid w:val="009F6BAE"/>
    <w:rsid w:val="009F7A08"/>
    <w:rsid w:val="00A002A4"/>
    <w:rsid w:val="00A009BF"/>
    <w:rsid w:val="00A029CE"/>
    <w:rsid w:val="00A06AD5"/>
    <w:rsid w:val="00A07017"/>
    <w:rsid w:val="00A07262"/>
    <w:rsid w:val="00A10B4E"/>
    <w:rsid w:val="00A117C8"/>
    <w:rsid w:val="00A12B3F"/>
    <w:rsid w:val="00A12E72"/>
    <w:rsid w:val="00A137EB"/>
    <w:rsid w:val="00A1393F"/>
    <w:rsid w:val="00A1498B"/>
    <w:rsid w:val="00A15EFE"/>
    <w:rsid w:val="00A1674E"/>
    <w:rsid w:val="00A17AD9"/>
    <w:rsid w:val="00A20028"/>
    <w:rsid w:val="00A20B04"/>
    <w:rsid w:val="00A21C28"/>
    <w:rsid w:val="00A22DD4"/>
    <w:rsid w:val="00A23F7F"/>
    <w:rsid w:val="00A2435D"/>
    <w:rsid w:val="00A2451D"/>
    <w:rsid w:val="00A25BBA"/>
    <w:rsid w:val="00A27693"/>
    <w:rsid w:val="00A309A8"/>
    <w:rsid w:val="00A32219"/>
    <w:rsid w:val="00A33E18"/>
    <w:rsid w:val="00A348F8"/>
    <w:rsid w:val="00A35C58"/>
    <w:rsid w:val="00A44573"/>
    <w:rsid w:val="00A467A7"/>
    <w:rsid w:val="00A52C4F"/>
    <w:rsid w:val="00A53F88"/>
    <w:rsid w:val="00A5442B"/>
    <w:rsid w:val="00A54B8A"/>
    <w:rsid w:val="00A55895"/>
    <w:rsid w:val="00A55F05"/>
    <w:rsid w:val="00A57542"/>
    <w:rsid w:val="00A61F74"/>
    <w:rsid w:val="00A62A39"/>
    <w:rsid w:val="00A62A73"/>
    <w:rsid w:val="00A6483D"/>
    <w:rsid w:val="00A70055"/>
    <w:rsid w:val="00A73034"/>
    <w:rsid w:val="00A7671D"/>
    <w:rsid w:val="00A809D5"/>
    <w:rsid w:val="00A812E7"/>
    <w:rsid w:val="00A8197B"/>
    <w:rsid w:val="00A82654"/>
    <w:rsid w:val="00A834F0"/>
    <w:rsid w:val="00A85189"/>
    <w:rsid w:val="00A875BF"/>
    <w:rsid w:val="00A93522"/>
    <w:rsid w:val="00A93CDF"/>
    <w:rsid w:val="00A95B73"/>
    <w:rsid w:val="00AA0B92"/>
    <w:rsid w:val="00AA0E9F"/>
    <w:rsid w:val="00AA3AEF"/>
    <w:rsid w:val="00AA3B5E"/>
    <w:rsid w:val="00AA4686"/>
    <w:rsid w:val="00AA52AF"/>
    <w:rsid w:val="00AB02A3"/>
    <w:rsid w:val="00AB1052"/>
    <w:rsid w:val="00AB4E56"/>
    <w:rsid w:val="00AB6621"/>
    <w:rsid w:val="00AB787B"/>
    <w:rsid w:val="00AB79B6"/>
    <w:rsid w:val="00AC778A"/>
    <w:rsid w:val="00AC7E37"/>
    <w:rsid w:val="00AD20E5"/>
    <w:rsid w:val="00AD2903"/>
    <w:rsid w:val="00AD3A60"/>
    <w:rsid w:val="00AD3CFC"/>
    <w:rsid w:val="00AD4F11"/>
    <w:rsid w:val="00AD67DD"/>
    <w:rsid w:val="00AD7F63"/>
    <w:rsid w:val="00AE0E38"/>
    <w:rsid w:val="00AE13E8"/>
    <w:rsid w:val="00AE2885"/>
    <w:rsid w:val="00AE30C3"/>
    <w:rsid w:val="00AE606F"/>
    <w:rsid w:val="00AE6F3C"/>
    <w:rsid w:val="00AF02AD"/>
    <w:rsid w:val="00AF0750"/>
    <w:rsid w:val="00AF14FC"/>
    <w:rsid w:val="00AF220E"/>
    <w:rsid w:val="00AF23BD"/>
    <w:rsid w:val="00AF242C"/>
    <w:rsid w:val="00AF5859"/>
    <w:rsid w:val="00B00703"/>
    <w:rsid w:val="00B00F3D"/>
    <w:rsid w:val="00B02C8F"/>
    <w:rsid w:val="00B0397C"/>
    <w:rsid w:val="00B043E8"/>
    <w:rsid w:val="00B06120"/>
    <w:rsid w:val="00B07130"/>
    <w:rsid w:val="00B072EB"/>
    <w:rsid w:val="00B07862"/>
    <w:rsid w:val="00B07B37"/>
    <w:rsid w:val="00B07C16"/>
    <w:rsid w:val="00B115E2"/>
    <w:rsid w:val="00B13A87"/>
    <w:rsid w:val="00B16CA4"/>
    <w:rsid w:val="00B17179"/>
    <w:rsid w:val="00B216E3"/>
    <w:rsid w:val="00B2398E"/>
    <w:rsid w:val="00B23C77"/>
    <w:rsid w:val="00B25109"/>
    <w:rsid w:val="00B317A9"/>
    <w:rsid w:val="00B31D83"/>
    <w:rsid w:val="00B33573"/>
    <w:rsid w:val="00B34199"/>
    <w:rsid w:val="00B34352"/>
    <w:rsid w:val="00B3443C"/>
    <w:rsid w:val="00B346F0"/>
    <w:rsid w:val="00B35027"/>
    <w:rsid w:val="00B4086C"/>
    <w:rsid w:val="00B430D8"/>
    <w:rsid w:val="00B436AC"/>
    <w:rsid w:val="00B4763A"/>
    <w:rsid w:val="00B508E7"/>
    <w:rsid w:val="00B50C00"/>
    <w:rsid w:val="00B50EC2"/>
    <w:rsid w:val="00B516D9"/>
    <w:rsid w:val="00B523ED"/>
    <w:rsid w:val="00B52763"/>
    <w:rsid w:val="00B539F5"/>
    <w:rsid w:val="00B569F2"/>
    <w:rsid w:val="00B56B09"/>
    <w:rsid w:val="00B56B61"/>
    <w:rsid w:val="00B57564"/>
    <w:rsid w:val="00B57F15"/>
    <w:rsid w:val="00B629B1"/>
    <w:rsid w:val="00B62C59"/>
    <w:rsid w:val="00B63E61"/>
    <w:rsid w:val="00B65F0C"/>
    <w:rsid w:val="00B66E70"/>
    <w:rsid w:val="00B66EA2"/>
    <w:rsid w:val="00B66FE7"/>
    <w:rsid w:val="00B70E42"/>
    <w:rsid w:val="00B712B1"/>
    <w:rsid w:val="00B73236"/>
    <w:rsid w:val="00B7439D"/>
    <w:rsid w:val="00B74B79"/>
    <w:rsid w:val="00B80829"/>
    <w:rsid w:val="00B80851"/>
    <w:rsid w:val="00B82A2C"/>
    <w:rsid w:val="00B83DA2"/>
    <w:rsid w:val="00B84155"/>
    <w:rsid w:val="00B8423B"/>
    <w:rsid w:val="00B845C6"/>
    <w:rsid w:val="00B8488F"/>
    <w:rsid w:val="00B854BA"/>
    <w:rsid w:val="00B91335"/>
    <w:rsid w:val="00B92053"/>
    <w:rsid w:val="00B920E5"/>
    <w:rsid w:val="00B925E7"/>
    <w:rsid w:val="00B94F02"/>
    <w:rsid w:val="00B9625F"/>
    <w:rsid w:val="00B967EE"/>
    <w:rsid w:val="00B973A2"/>
    <w:rsid w:val="00B97423"/>
    <w:rsid w:val="00B97850"/>
    <w:rsid w:val="00B97D72"/>
    <w:rsid w:val="00BA072F"/>
    <w:rsid w:val="00BA083A"/>
    <w:rsid w:val="00BA167E"/>
    <w:rsid w:val="00BA3066"/>
    <w:rsid w:val="00BA3517"/>
    <w:rsid w:val="00BA37E1"/>
    <w:rsid w:val="00BA60A9"/>
    <w:rsid w:val="00BA7FA9"/>
    <w:rsid w:val="00BB1AC4"/>
    <w:rsid w:val="00BB25B7"/>
    <w:rsid w:val="00BB29EC"/>
    <w:rsid w:val="00BB4459"/>
    <w:rsid w:val="00BB589B"/>
    <w:rsid w:val="00BB5FF1"/>
    <w:rsid w:val="00BC27DC"/>
    <w:rsid w:val="00BC2B64"/>
    <w:rsid w:val="00BC2C47"/>
    <w:rsid w:val="00BC2DB8"/>
    <w:rsid w:val="00BC30F8"/>
    <w:rsid w:val="00BC39CC"/>
    <w:rsid w:val="00BC4CF0"/>
    <w:rsid w:val="00BC6331"/>
    <w:rsid w:val="00BD3FF1"/>
    <w:rsid w:val="00BD48BA"/>
    <w:rsid w:val="00BD6A1D"/>
    <w:rsid w:val="00BD6FA5"/>
    <w:rsid w:val="00BD7493"/>
    <w:rsid w:val="00BE353D"/>
    <w:rsid w:val="00BE578A"/>
    <w:rsid w:val="00BE777A"/>
    <w:rsid w:val="00BF0062"/>
    <w:rsid w:val="00BF09AA"/>
    <w:rsid w:val="00BF0C8F"/>
    <w:rsid w:val="00BF15DE"/>
    <w:rsid w:val="00BF21FE"/>
    <w:rsid w:val="00BF3804"/>
    <w:rsid w:val="00C00CD9"/>
    <w:rsid w:val="00C012E9"/>
    <w:rsid w:val="00C01865"/>
    <w:rsid w:val="00C07D39"/>
    <w:rsid w:val="00C12F9D"/>
    <w:rsid w:val="00C17338"/>
    <w:rsid w:val="00C24751"/>
    <w:rsid w:val="00C24A53"/>
    <w:rsid w:val="00C31A3C"/>
    <w:rsid w:val="00C328A3"/>
    <w:rsid w:val="00C365EE"/>
    <w:rsid w:val="00C37D30"/>
    <w:rsid w:val="00C400EC"/>
    <w:rsid w:val="00C408F8"/>
    <w:rsid w:val="00C40A79"/>
    <w:rsid w:val="00C45B63"/>
    <w:rsid w:val="00C4620D"/>
    <w:rsid w:val="00C5077A"/>
    <w:rsid w:val="00C50DC5"/>
    <w:rsid w:val="00C50E7C"/>
    <w:rsid w:val="00C52E5D"/>
    <w:rsid w:val="00C543BB"/>
    <w:rsid w:val="00C5476A"/>
    <w:rsid w:val="00C60FD7"/>
    <w:rsid w:val="00C61A74"/>
    <w:rsid w:val="00C61D95"/>
    <w:rsid w:val="00C705B5"/>
    <w:rsid w:val="00C70C0C"/>
    <w:rsid w:val="00C73289"/>
    <w:rsid w:val="00C73954"/>
    <w:rsid w:val="00C73CCD"/>
    <w:rsid w:val="00C73E84"/>
    <w:rsid w:val="00C74A9C"/>
    <w:rsid w:val="00C753C3"/>
    <w:rsid w:val="00C76799"/>
    <w:rsid w:val="00C770A1"/>
    <w:rsid w:val="00C81DCE"/>
    <w:rsid w:val="00C84DE1"/>
    <w:rsid w:val="00C8630B"/>
    <w:rsid w:val="00C867B7"/>
    <w:rsid w:val="00C8780F"/>
    <w:rsid w:val="00C90C5E"/>
    <w:rsid w:val="00C91AB6"/>
    <w:rsid w:val="00C93F74"/>
    <w:rsid w:val="00C940FB"/>
    <w:rsid w:val="00C951C6"/>
    <w:rsid w:val="00C95A7C"/>
    <w:rsid w:val="00C96074"/>
    <w:rsid w:val="00C96C7D"/>
    <w:rsid w:val="00C96E7C"/>
    <w:rsid w:val="00CA067D"/>
    <w:rsid w:val="00CA211D"/>
    <w:rsid w:val="00CA476D"/>
    <w:rsid w:val="00CA4B31"/>
    <w:rsid w:val="00CA6E34"/>
    <w:rsid w:val="00CB073A"/>
    <w:rsid w:val="00CB26B2"/>
    <w:rsid w:val="00CB4158"/>
    <w:rsid w:val="00CB49E1"/>
    <w:rsid w:val="00CC4AD4"/>
    <w:rsid w:val="00CC6CD2"/>
    <w:rsid w:val="00CC7235"/>
    <w:rsid w:val="00CD08B1"/>
    <w:rsid w:val="00CD27EE"/>
    <w:rsid w:val="00CD4463"/>
    <w:rsid w:val="00CD460D"/>
    <w:rsid w:val="00CD52DC"/>
    <w:rsid w:val="00CE34FE"/>
    <w:rsid w:val="00CE5AA5"/>
    <w:rsid w:val="00CE65B4"/>
    <w:rsid w:val="00CF1019"/>
    <w:rsid w:val="00CF1377"/>
    <w:rsid w:val="00CF241C"/>
    <w:rsid w:val="00CF282A"/>
    <w:rsid w:val="00CF2CE8"/>
    <w:rsid w:val="00CF67BB"/>
    <w:rsid w:val="00CF6F7D"/>
    <w:rsid w:val="00CF760B"/>
    <w:rsid w:val="00D00EA6"/>
    <w:rsid w:val="00D0283D"/>
    <w:rsid w:val="00D030CC"/>
    <w:rsid w:val="00D03ACD"/>
    <w:rsid w:val="00D048AD"/>
    <w:rsid w:val="00D078EA"/>
    <w:rsid w:val="00D136BD"/>
    <w:rsid w:val="00D1456B"/>
    <w:rsid w:val="00D1461E"/>
    <w:rsid w:val="00D149E1"/>
    <w:rsid w:val="00D15CD0"/>
    <w:rsid w:val="00D15E28"/>
    <w:rsid w:val="00D1730C"/>
    <w:rsid w:val="00D17AAB"/>
    <w:rsid w:val="00D17EF0"/>
    <w:rsid w:val="00D20784"/>
    <w:rsid w:val="00D2260C"/>
    <w:rsid w:val="00D24FBB"/>
    <w:rsid w:val="00D25263"/>
    <w:rsid w:val="00D258B9"/>
    <w:rsid w:val="00D25A5E"/>
    <w:rsid w:val="00D26F3D"/>
    <w:rsid w:val="00D2743D"/>
    <w:rsid w:val="00D31DC2"/>
    <w:rsid w:val="00D31E3E"/>
    <w:rsid w:val="00D34112"/>
    <w:rsid w:val="00D3743D"/>
    <w:rsid w:val="00D428B9"/>
    <w:rsid w:val="00D43A26"/>
    <w:rsid w:val="00D44BFA"/>
    <w:rsid w:val="00D466E4"/>
    <w:rsid w:val="00D4687A"/>
    <w:rsid w:val="00D46C22"/>
    <w:rsid w:val="00D46EC4"/>
    <w:rsid w:val="00D476F9"/>
    <w:rsid w:val="00D53352"/>
    <w:rsid w:val="00D53E37"/>
    <w:rsid w:val="00D54701"/>
    <w:rsid w:val="00D548AB"/>
    <w:rsid w:val="00D56552"/>
    <w:rsid w:val="00D5778B"/>
    <w:rsid w:val="00D57CB5"/>
    <w:rsid w:val="00D63E5C"/>
    <w:rsid w:val="00D65EC2"/>
    <w:rsid w:val="00D65FF3"/>
    <w:rsid w:val="00D74024"/>
    <w:rsid w:val="00D7686A"/>
    <w:rsid w:val="00D77805"/>
    <w:rsid w:val="00D77B26"/>
    <w:rsid w:val="00D81A6D"/>
    <w:rsid w:val="00D81BCA"/>
    <w:rsid w:val="00D83B1F"/>
    <w:rsid w:val="00D864D9"/>
    <w:rsid w:val="00D86CA8"/>
    <w:rsid w:val="00D87A68"/>
    <w:rsid w:val="00D94C9B"/>
    <w:rsid w:val="00D95D63"/>
    <w:rsid w:val="00D960DD"/>
    <w:rsid w:val="00D96D6E"/>
    <w:rsid w:val="00D97F63"/>
    <w:rsid w:val="00DA00DE"/>
    <w:rsid w:val="00DA19B9"/>
    <w:rsid w:val="00DA25A8"/>
    <w:rsid w:val="00DA2727"/>
    <w:rsid w:val="00DA4F08"/>
    <w:rsid w:val="00DA6423"/>
    <w:rsid w:val="00DA64DE"/>
    <w:rsid w:val="00DA6874"/>
    <w:rsid w:val="00DA6D03"/>
    <w:rsid w:val="00DB229D"/>
    <w:rsid w:val="00DB2353"/>
    <w:rsid w:val="00DB3D62"/>
    <w:rsid w:val="00DB4B02"/>
    <w:rsid w:val="00DB576E"/>
    <w:rsid w:val="00DB72EB"/>
    <w:rsid w:val="00DC024C"/>
    <w:rsid w:val="00DC0A88"/>
    <w:rsid w:val="00DC25B7"/>
    <w:rsid w:val="00DC2C52"/>
    <w:rsid w:val="00DC3A7A"/>
    <w:rsid w:val="00DC68FD"/>
    <w:rsid w:val="00DD18E9"/>
    <w:rsid w:val="00DD1EFB"/>
    <w:rsid w:val="00DD2332"/>
    <w:rsid w:val="00DD406A"/>
    <w:rsid w:val="00DD474C"/>
    <w:rsid w:val="00DD573A"/>
    <w:rsid w:val="00DD5820"/>
    <w:rsid w:val="00DE0B17"/>
    <w:rsid w:val="00DE150C"/>
    <w:rsid w:val="00DE2FC9"/>
    <w:rsid w:val="00DE3CE3"/>
    <w:rsid w:val="00DE4339"/>
    <w:rsid w:val="00DE43F5"/>
    <w:rsid w:val="00DE4734"/>
    <w:rsid w:val="00DE57E3"/>
    <w:rsid w:val="00DE7848"/>
    <w:rsid w:val="00DF10BC"/>
    <w:rsid w:val="00DF23EF"/>
    <w:rsid w:val="00DF2E0D"/>
    <w:rsid w:val="00DF2E2A"/>
    <w:rsid w:val="00DF42BC"/>
    <w:rsid w:val="00DF46FA"/>
    <w:rsid w:val="00DF52A3"/>
    <w:rsid w:val="00DF58C5"/>
    <w:rsid w:val="00E06E14"/>
    <w:rsid w:val="00E101FF"/>
    <w:rsid w:val="00E11681"/>
    <w:rsid w:val="00E11EED"/>
    <w:rsid w:val="00E12D0F"/>
    <w:rsid w:val="00E13664"/>
    <w:rsid w:val="00E13C2A"/>
    <w:rsid w:val="00E16051"/>
    <w:rsid w:val="00E170E2"/>
    <w:rsid w:val="00E17FE1"/>
    <w:rsid w:val="00E201CC"/>
    <w:rsid w:val="00E21618"/>
    <w:rsid w:val="00E22AA6"/>
    <w:rsid w:val="00E24230"/>
    <w:rsid w:val="00E246A0"/>
    <w:rsid w:val="00E251C0"/>
    <w:rsid w:val="00E3040C"/>
    <w:rsid w:val="00E31115"/>
    <w:rsid w:val="00E31AD2"/>
    <w:rsid w:val="00E327E1"/>
    <w:rsid w:val="00E32B3D"/>
    <w:rsid w:val="00E33BA4"/>
    <w:rsid w:val="00E34884"/>
    <w:rsid w:val="00E36443"/>
    <w:rsid w:val="00E36F9E"/>
    <w:rsid w:val="00E37F44"/>
    <w:rsid w:val="00E406E6"/>
    <w:rsid w:val="00E43526"/>
    <w:rsid w:val="00E43F0C"/>
    <w:rsid w:val="00E50735"/>
    <w:rsid w:val="00E515BE"/>
    <w:rsid w:val="00E529CB"/>
    <w:rsid w:val="00E535F3"/>
    <w:rsid w:val="00E54BCA"/>
    <w:rsid w:val="00E55F02"/>
    <w:rsid w:val="00E56CF0"/>
    <w:rsid w:val="00E64266"/>
    <w:rsid w:val="00E66CD6"/>
    <w:rsid w:val="00E725F7"/>
    <w:rsid w:val="00E73027"/>
    <w:rsid w:val="00E7417E"/>
    <w:rsid w:val="00E76C85"/>
    <w:rsid w:val="00E77EC6"/>
    <w:rsid w:val="00E80234"/>
    <w:rsid w:val="00E8108C"/>
    <w:rsid w:val="00E81C31"/>
    <w:rsid w:val="00E82DFC"/>
    <w:rsid w:val="00E84D06"/>
    <w:rsid w:val="00E8546B"/>
    <w:rsid w:val="00E858BB"/>
    <w:rsid w:val="00E85962"/>
    <w:rsid w:val="00E85B7E"/>
    <w:rsid w:val="00E86332"/>
    <w:rsid w:val="00E86521"/>
    <w:rsid w:val="00E90EE9"/>
    <w:rsid w:val="00E9167C"/>
    <w:rsid w:val="00E93BE4"/>
    <w:rsid w:val="00E95D2A"/>
    <w:rsid w:val="00E96ED9"/>
    <w:rsid w:val="00EA2B8C"/>
    <w:rsid w:val="00EA2FA8"/>
    <w:rsid w:val="00EA3B9F"/>
    <w:rsid w:val="00EA4F77"/>
    <w:rsid w:val="00EA59F5"/>
    <w:rsid w:val="00EB297C"/>
    <w:rsid w:val="00EB3578"/>
    <w:rsid w:val="00EB3B00"/>
    <w:rsid w:val="00EB5BC2"/>
    <w:rsid w:val="00EB6BD2"/>
    <w:rsid w:val="00EC11FD"/>
    <w:rsid w:val="00EC2F22"/>
    <w:rsid w:val="00EC3D46"/>
    <w:rsid w:val="00EC4395"/>
    <w:rsid w:val="00EC4C57"/>
    <w:rsid w:val="00EC55B6"/>
    <w:rsid w:val="00EC563A"/>
    <w:rsid w:val="00EC5DE6"/>
    <w:rsid w:val="00EC7245"/>
    <w:rsid w:val="00EC784A"/>
    <w:rsid w:val="00ED0822"/>
    <w:rsid w:val="00ED3E0F"/>
    <w:rsid w:val="00ED4308"/>
    <w:rsid w:val="00ED4A15"/>
    <w:rsid w:val="00ED5A72"/>
    <w:rsid w:val="00ED5F8E"/>
    <w:rsid w:val="00ED6B42"/>
    <w:rsid w:val="00ED6E66"/>
    <w:rsid w:val="00ED79F0"/>
    <w:rsid w:val="00ED7A7D"/>
    <w:rsid w:val="00EE0C3D"/>
    <w:rsid w:val="00EE3EC0"/>
    <w:rsid w:val="00EE55B2"/>
    <w:rsid w:val="00EE5D7B"/>
    <w:rsid w:val="00EE605E"/>
    <w:rsid w:val="00EF1647"/>
    <w:rsid w:val="00EF2DD8"/>
    <w:rsid w:val="00EF3C74"/>
    <w:rsid w:val="00EF461A"/>
    <w:rsid w:val="00EF57A3"/>
    <w:rsid w:val="00EF78BE"/>
    <w:rsid w:val="00F011B1"/>
    <w:rsid w:val="00F043C2"/>
    <w:rsid w:val="00F05286"/>
    <w:rsid w:val="00F05CC7"/>
    <w:rsid w:val="00F07690"/>
    <w:rsid w:val="00F07DC5"/>
    <w:rsid w:val="00F10D80"/>
    <w:rsid w:val="00F1112D"/>
    <w:rsid w:val="00F129AB"/>
    <w:rsid w:val="00F13CD2"/>
    <w:rsid w:val="00F15500"/>
    <w:rsid w:val="00F155B0"/>
    <w:rsid w:val="00F16E18"/>
    <w:rsid w:val="00F17F56"/>
    <w:rsid w:val="00F241F6"/>
    <w:rsid w:val="00F242F6"/>
    <w:rsid w:val="00F24B2C"/>
    <w:rsid w:val="00F24D01"/>
    <w:rsid w:val="00F264FC"/>
    <w:rsid w:val="00F268D6"/>
    <w:rsid w:val="00F30FA2"/>
    <w:rsid w:val="00F36E46"/>
    <w:rsid w:val="00F40750"/>
    <w:rsid w:val="00F41982"/>
    <w:rsid w:val="00F441FD"/>
    <w:rsid w:val="00F4512D"/>
    <w:rsid w:val="00F50C29"/>
    <w:rsid w:val="00F51F23"/>
    <w:rsid w:val="00F525ED"/>
    <w:rsid w:val="00F53523"/>
    <w:rsid w:val="00F54C59"/>
    <w:rsid w:val="00F56954"/>
    <w:rsid w:val="00F56E4A"/>
    <w:rsid w:val="00F60AFC"/>
    <w:rsid w:val="00F612F7"/>
    <w:rsid w:val="00F72A14"/>
    <w:rsid w:val="00F7316E"/>
    <w:rsid w:val="00F75EAD"/>
    <w:rsid w:val="00F7681E"/>
    <w:rsid w:val="00F76C26"/>
    <w:rsid w:val="00F80431"/>
    <w:rsid w:val="00F82601"/>
    <w:rsid w:val="00F8266D"/>
    <w:rsid w:val="00F848DD"/>
    <w:rsid w:val="00F86CE6"/>
    <w:rsid w:val="00F87DF7"/>
    <w:rsid w:val="00F930B1"/>
    <w:rsid w:val="00F9626E"/>
    <w:rsid w:val="00F97FC1"/>
    <w:rsid w:val="00FA789B"/>
    <w:rsid w:val="00FB0B42"/>
    <w:rsid w:val="00FB277E"/>
    <w:rsid w:val="00FB287D"/>
    <w:rsid w:val="00FB427A"/>
    <w:rsid w:val="00FB4B18"/>
    <w:rsid w:val="00FB5F2E"/>
    <w:rsid w:val="00FB68EB"/>
    <w:rsid w:val="00FB73E8"/>
    <w:rsid w:val="00FC112A"/>
    <w:rsid w:val="00FC3FD5"/>
    <w:rsid w:val="00FC4693"/>
    <w:rsid w:val="00FC67D7"/>
    <w:rsid w:val="00FC6DE7"/>
    <w:rsid w:val="00FD0606"/>
    <w:rsid w:val="00FD07B4"/>
    <w:rsid w:val="00FD6B2D"/>
    <w:rsid w:val="00FD7AE5"/>
    <w:rsid w:val="00FE002F"/>
    <w:rsid w:val="00FE1400"/>
    <w:rsid w:val="00FE4FD2"/>
    <w:rsid w:val="00FE5B56"/>
    <w:rsid w:val="00FE5C85"/>
    <w:rsid w:val="00FE78DC"/>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FF3"/>
    <w:pPr>
      <w:spacing w:line="256" w:lineRule="auto"/>
    </w:pPr>
    <w:rPr>
      <w:rFonts w:eastAsiaTheme="minorEastAsia"/>
      <w:lang w:eastAsia="zh-CN"/>
    </w:rPr>
  </w:style>
  <w:style w:type="paragraph" w:styleId="Heading1">
    <w:name w:val="heading 1"/>
    <w:basedOn w:val="Normal"/>
    <w:next w:val="Normal"/>
    <w:link w:val="Heading1Char"/>
    <w:uiPriority w:val="9"/>
    <w:qFormat/>
    <w:rsid w:val="00D77B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94F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 w:type="character" w:customStyle="1" w:styleId="Heading1Char">
    <w:name w:val="Heading 1 Char"/>
    <w:basedOn w:val="DefaultParagraphFont"/>
    <w:link w:val="Heading1"/>
    <w:uiPriority w:val="9"/>
    <w:rsid w:val="00D77B26"/>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semiHidden/>
    <w:rsid w:val="00594FDB"/>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292">
      <w:bodyDiv w:val="1"/>
      <w:marLeft w:val="0"/>
      <w:marRight w:val="0"/>
      <w:marTop w:val="0"/>
      <w:marBottom w:val="0"/>
      <w:divBdr>
        <w:top w:val="none" w:sz="0" w:space="0" w:color="auto"/>
        <w:left w:val="none" w:sz="0" w:space="0" w:color="auto"/>
        <w:bottom w:val="none" w:sz="0" w:space="0" w:color="auto"/>
        <w:right w:val="none" w:sz="0" w:space="0" w:color="auto"/>
      </w:divBdr>
    </w:div>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9576757">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16854507">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2825353">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337329">
      <w:bodyDiv w:val="1"/>
      <w:marLeft w:val="0"/>
      <w:marRight w:val="0"/>
      <w:marTop w:val="0"/>
      <w:marBottom w:val="0"/>
      <w:divBdr>
        <w:top w:val="none" w:sz="0" w:space="0" w:color="auto"/>
        <w:left w:val="none" w:sz="0" w:space="0" w:color="auto"/>
        <w:bottom w:val="none" w:sz="0" w:space="0" w:color="auto"/>
        <w:right w:val="none" w:sz="0" w:space="0" w:color="auto"/>
      </w:divBdr>
    </w:div>
    <w:div w:id="28536681">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5395883">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1057232">
      <w:bodyDiv w:val="1"/>
      <w:marLeft w:val="0"/>
      <w:marRight w:val="0"/>
      <w:marTop w:val="0"/>
      <w:marBottom w:val="0"/>
      <w:divBdr>
        <w:top w:val="none" w:sz="0" w:space="0" w:color="auto"/>
        <w:left w:val="none" w:sz="0" w:space="0" w:color="auto"/>
        <w:bottom w:val="none" w:sz="0" w:space="0" w:color="auto"/>
        <w:right w:val="none" w:sz="0" w:space="0" w:color="auto"/>
      </w:divBdr>
    </w:div>
    <w:div w:id="41442770">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5181483">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52822095">
      <w:bodyDiv w:val="1"/>
      <w:marLeft w:val="0"/>
      <w:marRight w:val="0"/>
      <w:marTop w:val="0"/>
      <w:marBottom w:val="0"/>
      <w:divBdr>
        <w:top w:val="none" w:sz="0" w:space="0" w:color="auto"/>
        <w:left w:val="none" w:sz="0" w:space="0" w:color="auto"/>
        <w:bottom w:val="none" w:sz="0" w:space="0" w:color="auto"/>
        <w:right w:val="none" w:sz="0" w:space="0" w:color="auto"/>
      </w:divBdr>
    </w:div>
    <w:div w:id="57942530">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1491955">
      <w:bodyDiv w:val="1"/>
      <w:marLeft w:val="0"/>
      <w:marRight w:val="0"/>
      <w:marTop w:val="0"/>
      <w:marBottom w:val="0"/>
      <w:divBdr>
        <w:top w:val="none" w:sz="0" w:space="0" w:color="auto"/>
        <w:left w:val="none" w:sz="0" w:space="0" w:color="auto"/>
        <w:bottom w:val="none" w:sz="0" w:space="0" w:color="auto"/>
        <w:right w:val="none" w:sz="0" w:space="0" w:color="auto"/>
      </w:divBdr>
    </w:div>
    <w:div w:id="62874694">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7652518">
      <w:bodyDiv w:val="1"/>
      <w:marLeft w:val="0"/>
      <w:marRight w:val="0"/>
      <w:marTop w:val="0"/>
      <w:marBottom w:val="0"/>
      <w:divBdr>
        <w:top w:val="none" w:sz="0" w:space="0" w:color="auto"/>
        <w:left w:val="none" w:sz="0" w:space="0" w:color="auto"/>
        <w:bottom w:val="none" w:sz="0" w:space="0" w:color="auto"/>
        <w:right w:val="none" w:sz="0" w:space="0" w:color="auto"/>
      </w:divBdr>
    </w:div>
    <w:div w:id="75134547">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366539">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97458232">
      <w:bodyDiv w:val="1"/>
      <w:marLeft w:val="0"/>
      <w:marRight w:val="0"/>
      <w:marTop w:val="0"/>
      <w:marBottom w:val="0"/>
      <w:divBdr>
        <w:top w:val="none" w:sz="0" w:space="0" w:color="auto"/>
        <w:left w:val="none" w:sz="0" w:space="0" w:color="auto"/>
        <w:bottom w:val="none" w:sz="0" w:space="0" w:color="auto"/>
        <w:right w:val="none" w:sz="0" w:space="0" w:color="auto"/>
      </w:divBdr>
    </w:div>
    <w:div w:id="99960295">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1194222">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0978587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93801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48181692">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4690418">
      <w:bodyDiv w:val="1"/>
      <w:marLeft w:val="0"/>
      <w:marRight w:val="0"/>
      <w:marTop w:val="0"/>
      <w:marBottom w:val="0"/>
      <w:divBdr>
        <w:top w:val="none" w:sz="0" w:space="0" w:color="auto"/>
        <w:left w:val="none" w:sz="0" w:space="0" w:color="auto"/>
        <w:bottom w:val="none" w:sz="0" w:space="0" w:color="auto"/>
        <w:right w:val="none" w:sz="0" w:space="0" w:color="auto"/>
      </w:divBdr>
    </w:div>
    <w:div w:id="16090087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1533716">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4925692">
      <w:bodyDiv w:val="1"/>
      <w:marLeft w:val="0"/>
      <w:marRight w:val="0"/>
      <w:marTop w:val="0"/>
      <w:marBottom w:val="0"/>
      <w:divBdr>
        <w:top w:val="none" w:sz="0" w:space="0" w:color="auto"/>
        <w:left w:val="none" w:sz="0" w:space="0" w:color="auto"/>
        <w:bottom w:val="none" w:sz="0" w:space="0" w:color="auto"/>
        <w:right w:val="none" w:sz="0" w:space="0" w:color="auto"/>
      </w:divBdr>
    </w:div>
    <w:div w:id="176387634">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87642896">
      <w:bodyDiv w:val="1"/>
      <w:marLeft w:val="0"/>
      <w:marRight w:val="0"/>
      <w:marTop w:val="0"/>
      <w:marBottom w:val="0"/>
      <w:divBdr>
        <w:top w:val="none" w:sz="0" w:space="0" w:color="auto"/>
        <w:left w:val="none" w:sz="0" w:space="0" w:color="auto"/>
        <w:bottom w:val="none" w:sz="0" w:space="0" w:color="auto"/>
        <w:right w:val="none" w:sz="0" w:space="0" w:color="auto"/>
      </w:divBdr>
    </w:div>
    <w:div w:id="187715928">
      <w:bodyDiv w:val="1"/>
      <w:marLeft w:val="0"/>
      <w:marRight w:val="0"/>
      <w:marTop w:val="0"/>
      <w:marBottom w:val="0"/>
      <w:divBdr>
        <w:top w:val="none" w:sz="0" w:space="0" w:color="auto"/>
        <w:left w:val="none" w:sz="0" w:space="0" w:color="auto"/>
        <w:bottom w:val="none" w:sz="0" w:space="0" w:color="auto"/>
        <w:right w:val="none" w:sz="0" w:space="0" w:color="auto"/>
      </w:divBdr>
    </w:div>
    <w:div w:id="187719242">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6432745">
      <w:bodyDiv w:val="1"/>
      <w:marLeft w:val="0"/>
      <w:marRight w:val="0"/>
      <w:marTop w:val="0"/>
      <w:marBottom w:val="0"/>
      <w:divBdr>
        <w:top w:val="none" w:sz="0" w:space="0" w:color="auto"/>
        <w:left w:val="none" w:sz="0" w:space="0" w:color="auto"/>
        <w:bottom w:val="none" w:sz="0" w:space="0" w:color="auto"/>
        <w:right w:val="none" w:sz="0" w:space="0" w:color="auto"/>
      </w:divBdr>
    </w:div>
    <w:div w:id="198666876">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69472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9222655">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2320922">
      <w:bodyDiv w:val="1"/>
      <w:marLeft w:val="0"/>
      <w:marRight w:val="0"/>
      <w:marTop w:val="0"/>
      <w:marBottom w:val="0"/>
      <w:divBdr>
        <w:top w:val="none" w:sz="0" w:space="0" w:color="auto"/>
        <w:left w:val="none" w:sz="0" w:space="0" w:color="auto"/>
        <w:bottom w:val="none" w:sz="0" w:space="0" w:color="auto"/>
        <w:right w:val="none" w:sz="0" w:space="0" w:color="auto"/>
      </w:divBdr>
    </w:div>
    <w:div w:id="2528633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0940554">
      <w:bodyDiv w:val="1"/>
      <w:marLeft w:val="0"/>
      <w:marRight w:val="0"/>
      <w:marTop w:val="0"/>
      <w:marBottom w:val="0"/>
      <w:divBdr>
        <w:top w:val="none" w:sz="0" w:space="0" w:color="auto"/>
        <w:left w:val="none" w:sz="0" w:space="0" w:color="auto"/>
        <w:bottom w:val="none" w:sz="0" w:space="0" w:color="auto"/>
        <w:right w:val="none" w:sz="0" w:space="0" w:color="auto"/>
      </w:divBdr>
    </w:div>
    <w:div w:id="27737308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2931886">
      <w:bodyDiv w:val="1"/>
      <w:marLeft w:val="0"/>
      <w:marRight w:val="0"/>
      <w:marTop w:val="0"/>
      <w:marBottom w:val="0"/>
      <w:divBdr>
        <w:top w:val="none" w:sz="0" w:space="0" w:color="auto"/>
        <w:left w:val="none" w:sz="0" w:space="0" w:color="auto"/>
        <w:bottom w:val="none" w:sz="0" w:space="0" w:color="auto"/>
        <w:right w:val="none" w:sz="0" w:space="0" w:color="auto"/>
      </w:divBdr>
    </w:div>
    <w:div w:id="286015293">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7684107">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03049012">
      <w:bodyDiv w:val="1"/>
      <w:marLeft w:val="0"/>
      <w:marRight w:val="0"/>
      <w:marTop w:val="0"/>
      <w:marBottom w:val="0"/>
      <w:divBdr>
        <w:top w:val="none" w:sz="0" w:space="0" w:color="auto"/>
        <w:left w:val="none" w:sz="0" w:space="0" w:color="auto"/>
        <w:bottom w:val="none" w:sz="0" w:space="0" w:color="auto"/>
        <w:right w:val="none" w:sz="0" w:space="0" w:color="auto"/>
      </w:divBdr>
    </w:div>
    <w:div w:id="308677741">
      <w:bodyDiv w:val="1"/>
      <w:marLeft w:val="0"/>
      <w:marRight w:val="0"/>
      <w:marTop w:val="0"/>
      <w:marBottom w:val="0"/>
      <w:divBdr>
        <w:top w:val="none" w:sz="0" w:space="0" w:color="auto"/>
        <w:left w:val="none" w:sz="0" w:space="0" w:color="auto"/>
        <w:bottom w:val="none" w:sz="0" w:space="0" w:color="auto"/>
        <w:right w:val="none" w:sz="0" w:space="0" w:color="auto"/>
      </w:divBdr>
    </w:div>
    <w:div w:id="314720459">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4482923">
      <w:bodyDiv w:val="1"/>
      <w:marLeft w:val="0"/>
      <w:marRight w:val="0"/>
      <w:marTop w:val="0"/>
      <w:marBottom w:val="0"/>
      <w:divBdr>
        <w:top w:val="none" w:sz="0" w:space="0" w:color="auto"/>
        <w:left w:val="none" w:sz="0" w:space="0" w:color="auto"/>
        <w:bottom w:val="none" w:sz="0" w:space="0" w:color="auto"/>
        <w:right w:val="none" w:sz="0" w:space="0" w:color="auto"/>
      </w:divBdr>
    </w:div>
    <w:div w:id="327170675">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49183634">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58702630">
      <w:bodyDiv w:val="1"/>
      <w:marLeft w:val="0"/>
      <w:marRight w:val="0"/>
      <w:marTop w:val="0"/>
      <w:marBottom w:val="0"/>
      <w:divBdr>
        <w:top w:val="none" w:sz="0" w:space="0" w:color="auto"/>
        <w:left w:val="none" w:sz="0" w:space="0" w:color="auto"/>
        <w:bottom w:val="none" w:sz="0" w:space="0" w:color="auto"/>
        <w:right w:val="none" w:sz="0" w:space="0" w:color="auto"/>
      </w:divBdr>
    </w:div>
    <w:div w:id="360596456">
      <w:bodyDiv w:val="1"/>
      <w:marLeft w:val="0"/>
      <w:marRight w:val="0"/>
      <w:marTop w:val="0"/>
      <w:marBottom w:val="0"/>
      <w:divBdr>
        <w:top w:val="none" w:sz="0" w:space="0" w:color="auto"/>
        <w:left w:val="none" w:sz="0" w:space="0" w:color="auto"/>
        <w:bottom w:val="none" w:sz="0" w:space="0" w:color="auto"/>
        <w:right w:val="none" w:sz="0" w:space="0" w:color="auto"/>
      </w:divBdr>
    </w:div>
    <w:div w:id="361321932">
      <w:bodyDiv w:val="1"/>
      <w:marLeft w:val="0"/>
      <w:marRight w:val="0"/>
      <w:marTop w:val="0"/>
      <w:marBottom w:val="0"/>
      <w:divBdr>
        <w:top w:val="none" w:sz="0" w:space="0" w:color="auto"/>
        <w:left w:val="none" w:sz="0" w:space="0" w:color="auto"/>
        <w:bottom w:val="none" w:sz="0" w:space="0" w:color="auto"/>
        <w:right w:val="none" w:sz="0" w:space="0" w:color="auto"/>
      </w:divBdr>
    </w:div>
    <w:div w:id="362100172">
      <w:bodyDiv w:val="1"/>
      <w:marLeft w:val="0"/>
      <w:marRight w:val="0"/>
      <w:marTop w:val="0"/>
      <w:marBottom w:val="0"/>
      <w:divBdr>
        <w:top w:val="none" w:sz="0" w:space="0" w:color="auto"/>
        <w:left w:val="none" w:sz="0" w:space="0" w:color="auto"/>
        <w:bottom w:val="none" w:sz="0" w:space="0" w:color="auto"/>
        <w:right w:val="none" w:sz="0" w:space="0" w:color="auto"/>
      </w:divBdr>
    </w:div>
    <w:div w:id="362436248">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66762820">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5084820">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8884631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398210680">
      <w:bodyDiv w:val="1"/>
      <w:marLeft w:val="0"/>
      <w:marRight w:val="0"/>
      <w:marTop w:val="0"/>
      <w:marBottom w:val="0"/>
      <w:divBdr>
        <w:top w:val="none" w:sz="0" w:space="0" w:color="auto"/>
        <w:left w:val="none" w:sz="0" w:space="0" w:color="auto"/>
        <w:bottom w:val="none" w:sz="0" w:space="0" w:color="auto"/>
        <w:right w:val="none" w:sz="0" w:space="0" w:color="auto"/>
      </w:divBdr>
    </w:div>
    <w:div w:id="400182507">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8187">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5538698">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386606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8092883">
      <w:bodyDiv w:val="1"/>
      <w:marLeft w:val="0"/>
      <w:marRight w:val="0"/>
      <w:marTop w:val="0"/>
      <w:marBottom w:val="0"/>
      <w:divBdr>
        <w:top w:val="none" w:sz="0" w:space="0" w:color="auto"/>
        <w:left w:val="none" w:sz="0" w:space="0" w:color="auto"/>
        <w:bottom w:val="none" w:sz="0" w:space="0" w:color="auto"/>
        <w:right w:val="none" w:sz="0" w:space="0" w:color="auto"/>
      </w:divBdr>
    </w:div>
    <w:div w:id="450057530">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609468">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7210931">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75223227">
      <w:bodyDiv w:val="1"/>
      <w:marLeft w:val="0"/>
      <w:marRight w:val="0"/>
      <w:marTop w:val="0"/>
      <w:marBottom w:val="0"/>
      <w:divBdr>
        <w:top w:val="none" w:sz="0" w:space="0" w:color="auto"/>
        <w:left w:val="none" w:sz="0" w:space="0" w:color="auto"/>
        <w:bottom w:val="none" w:sz="0" w:space="0" w:color="auto"/>
        <w:right w:val="none" w:sz="0" w:space="0" w:color="auto"/>
      </w:divBdr>
    </w:div>
    <w:div w:id="476384742">
      <w:bodyDiv w:val="1"/>
      <w:marLeft w:val="0"/>
      <w:marRight w:val="0"/>
      <w:marTop w:val="0"/>
      <w:marBottom w:val="0"/>
      <w:divBdr>
        <w:top w:val="none" w:sz="0" w:space="0" w:color="auto"/>
        <w:left w:val="none" w:sz="0" w:space="0" w:color="auto"/>
        <w:bottom w:val="none" w:sz="0" w:space="0" w:color="auto"/>
        <w:right w:val="none" w:sz="0" w:space="0" w:color="auto"/>
      </w:divBdr>
    </w:div>
    <w:div w:id="478037759">
      <w:bodyDiv w:val="1"/>
      <w:marLeft w:val="0"/>
      <w:marRight w:val="0"/>
      <w:marTop w:val="0"/>
      <w:marBottom w:val="0"/>
      <w:divBdr>
        <w:top w:val="none" w:sz="0" w:space="0" w:color="auto"/>
        <w:left w:val="none" w:sz="0" w:space="0" w:color="auto"/>
        <w:bottom w:val="none" w:sz="0" w:space="0" w:color="auto"/>
        <w:right w:val="none" w:sz="0" w:space="0" w:color="auto"/>
      </w:divBdr>
    </w:div>
    <w:div w:id="480924580">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4514835">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6193634">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8927580">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0703706">
      <w:bodyDiv w:val="1"/>
      <w:marLeft w:val="0"/>
      <w:marRight w:val="0"/>
      <w:marTop w:val="0"/>
      <w:marBottom w:val="0"/>
      <w:divBdr>
        <w:top w:val="none" w:sz="0" w:space="0" w:color="auto"/>
        <w:left w:val="none" w:sz="0" w:space="0" w:color="auto"/>
        <w:bottom w:val="none" w:sz="0" w:space="0" w:color="auto"/>
        <w:right w:val="none" w:sz="0" w:space="0" w:color="auto"/>
      </w:divBdr>
    </w:div>
    <w:div w:id="525796009">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8495712">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29685079">
      <w:bodyDiv w:val="1"/>
      <w:marLeft w:val="0"/>
      <w:marRight w:val="0"/>
      <w:marTop w:val="0"/>
      <w:marBottom w:val="0"/>
      <w:divBdr>
        <w:top w:val="none" w:sz="0" w:space="0" w:color="auto"/>
        <w:left w:val="none" w:sz="0" w:space="0" w:color="auto"/>
        <w:bottom w:val="none" w:sz="0" w:space="0" w:color="auto"/>
        <w:right w:val="none" w:sz="0" w:space="0" w:color="auto"/>
      </w:divBdr>
    </w:div>
    <w:div w:id="530191391">
      <w:bodyDiv w:val="1"/>
      <w:marLeft w:val="0"/>
      <w:marRight w:val="0"/>
      <w:marTop w:val="0"/>
      <w:marBottom w:val="0"/>
      <w:divBdr>
        <w:top w:val="none" w:sz="0" w:space="0" w:color="auto"/>
        <w:left w:val="none" w:sz="0" w:space="0" w:color="auto"/>
        <w:bottom w:val="none" w:sz="0" w:space="0" w:color="auto"/>
        <w:right w:val="none" w:sz="0" w:space="0" w:color="auto"/>
      </w:divBdr>
    </w:div>
    <w:div w:id="531039545">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1504663">
      <w:bodyDiv w:val="1"/>
      <w:marLeft w:val="0"/>
      <w:marRight w:val="0"/>
      <w:marTop w:val="0"/>
      <w:marBottom w:val="0"/>
      <w:divBdr>
        <w:top w:val="none" w:sz="0" w:space="0" w:color="auto"/>
        <w:left w:val="none" w:sz="0" w:space="0" w:color="auto"/>
        <w:bottom w:val="none" w:sz="0" w:space="0" w:color="auto"/>
        <w:right w:val="none" w:sz="0" w:space="0" w:color="auto"/>
      </w:divBdr>
    </w:div>
    <w:div w:id="531576470">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084612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3980900">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0071099">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3659143">
      <w:bodyDiv w:val="1"/>
      <w:marLeft w:val="0"/>
      <w:marRight w:val="0"/>
      <w:marTop w:val="0"/>
      <w:marBottom w:val="0"/>
      <w:divBdr>
        <w:top w:val="none" w:sz="0" w:space="0" w:color="auto"/>
        <w:left w:val="none" w:sz="0" w:space="0" w:color="auto"/>
        <w:bottom w:val="none" w:sz="0" w:space="0" w:color="auto"/>
        <w:right w:val="none" w:sz="0" w:space="0" w:color="auto"/>
      </w:divBdr>
    </w:div>
    <w:div w:id="606085391">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1089032">
      <w:bodyDiv w:val="1"/>
      <w:marLeft w:val="0"/>
      <w:marRight w:val="0"/>
      <w:marTop w:val="0"/>
      <w:marBottom w:val="0"/>
      <w:divBdr>
        <w:top w:val="none" w:sz="0" w:space="0" w:color="auto"/>
        <w:left w:val="none" w:sz="0" w:space="0" w:color="auto"/>
        <w:bottom w:val="none" w:sz="0" w:space="0" w:color="auto"/>
        <w:right w:val="none" w:sz="0" w:space="0" w:color="auto"/>
      </w:divBdr>
    </w:div>
    <w:div w:id="611548377">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3486278">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45554337">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127524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8022339">
      <w:bodyDiv w:val="1"/>
      <w:marLeft w:val="0"/>
      <w:marRight w:val="0"/>
      <w:marTop w:val="0"/>
      <w:marBottom w:val="0"/>
      <w:divBdr>
        <w:top w:val="none" w:sz="0" w:space="0" w:color="auto"/>
        <w:left w:val="none" w:sz="0" w:space="0" w:color="auto"/>
        <w:bottom w:val="none" w:sz="0" w:space="0" w:color="auto"/>
        <w:right w:val="none" w:sz="0" w:space="0" w:color="auto"/>
      </w:divBdr>
    </w:div>
    <w:div w:id="668219253">
      <w:bodyDiv w:val="1"/>
      <w:marLeft w:val="0"/>
      <w:marRight w:val="0"/>
      <w:marTop w:val="0"/>
      <w:marBottom w:val="0"/>
      <w:divBdr>
        <w:top w:val="none" w:sz="0" w:space="0" w:color="auto"/>
        <w:left w:val="none" w:sz="0" w:space="0" w:color="auto"/>
        <w:bottom w:val="none" w:sz="0" w:space="0" w:color="auto"/>
        <w:right w:val="none" w:sz="0" w:space="0" w:color="auto"/>
      </w:divBdr>
    </w:div>
    <w:div w:id="668336720">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87490648">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1056721">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012540">
      <w:bodyDiv w:val="1"/>
      <w:marLeft w:val="0"/>
      <w:marRight w:val="0"/>
      <w:marTop w:val="0"/>
      <w:marBottom w:val="0"/>
      <w:divBdr>
        <w:top w:val="none" w:sz="0" w:space="0" w:color="auto"/>
        <w:left w:val="none" w:sz="0" w:space="0" w:color="auto"/>
        <w:bottom w:val="none" w:sz="0" w:space="0" w:color="auto"/>
        <w:right w:val="none" w:sz="0" w:space="0" w:color="auto"/>
      </w:divBdr>
    </w:div>
    <w:div w:id="736128245">
      <w:bodyDiv w:val="1"/>
      <w:marLeft w:val="0"/>
      <w:marRight w:val="0"/>
      <w:marTop w:val="0"/>
      <w:marBottom w:val="0"/>
      <w:divBdr>
        <w:top w:val="none" w:sz="0" w:space="0" w:color="auto"/>
        <w:left w:val="none" w:sz="0" w:space="0" w:color="auto"/>
        <w:bottom w:val="none" w:sz="0" w:space="0" w:color="auto"/>
        <w:right w:val="none" w:sz="0" w:space="0" w:color="auto"/>
      </w:divBdr>
    </w:div>
    <w:div w:id="737091385">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0493194">
      <w:bodyDiv w:val="1"/>
      <w:marLeft w:val="0"/>
      <w:marRight w:val="0"/>
      <w:marTop w:val="0"/>
      <w:marBottom w:val="0"/>
      <w:divBdr>
        <w:top w:val="none" w:sz="0" w:space="0" w:color="auto"/>
        <w:left w:val="none" w:sz="0" w:space="0" w:color="auto"/>
        <w:bottom w:val="none" w:sz="0" w:space="0" w:color="auto"/>
        <w:right w:val="none" w:sz="0" w:space="0" w:color="auto"/>
      </w:divBdr>
    </w:div>
    <w:div w:id="741565004">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3574706">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2579419">
      <w:bodyDiv w:val="1"/>
      <w:marLeft w:val="0"/>
      <w:marRight w:val="0"/>
      <w:marTop w:val="0"/>
      <w:marBottom w:val="0"/>
      <w:divBdr>
        <w:top w:val="none" w:sz="0" w:space="0" w:color="auto"/>
        <w:left w:val="none" w:sz="0" w:space="0" w:color="auto"/>
        <w:bottom w:val="none" w:sz="0" w:space="0" w:color="auto"/>
        <w:right w:val="none" w:sz="0" w:space="0" w:color="auto"/>
      </w:divBdr>
    </w:div>
    <w:div w:id="763038707">
      <w:bodyDiv w:val="1"/>
      <w:marLeft w:val="0"/>
      <w:marRight w:val="0"/>
      <w:marTop w:val="0"/>
      <w:marBottom w:val="0"/>
      <w:divBdr>
        <w:top w:val="none" w:sz="0" w:space="0" w:color="auto"/>
        <w:left w:val="none" w:sz="0" w:space="0" w:color="auto"/>
        <w:bottom w:val="none" w:sz="0" w:space="0" w:color="auto"/>
        <w:right w:val="none" w:sz="0" w:space="0" w:color="auto"/>
      </w:divBdr>
    </w:div>
    <w:div w:id="767391298">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4562365">
      <w:bodyDiv w:val="1"/>
      <w:marLeft w:val="0"/>
      <w:marRight w:val="0"/>
      <w:marTop w:val="0"/>
      <w:marBottom w:val="0"/>
      <w:divBdr>
        <w:top w:val="none" w:sz="0" w:space="0" w:color="auto"/>
        <w:left w:val="none" w:sz="0" w:space="0" w:color="auto"/>
        <w:bottom w:val="none" w:sz="0" w:space="0" w:color="auto"/>
        <w:right w:val="none" w:sz="0" w:space="0" w:color="auto"/>
      </w:divBdr>
    </w:div>
    <w:div w:id="796796158">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7862961">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3526019">
      <w:bodyDiv w:val="1"/>
      <w:marLeft w:val="0"/>
      <w:marRight w:val="0"/>
      <w:marTop w:val="0"/>
      <w:marBottom w:val="0"/>
      <w:divBdr>
        <w:top w:val="none" w:sz="0" w:space="0" w:color="auto"/>
        <w:left w:val="none" w:sz="0" w:space="0" w:color="auto"/>
        <w:bottom w:val="none" w:sz="0" w:space="0" w:color="auto"/>
        <w:right w:val="none" w:sz="0" w:space="0" w:color="auto"/>
      </w:divBdr>
    </w:div>
    <w:div w:id="814377916">
      <w:bodyDiv w:val="1"/>
      <w:marLeft w:val="0"/>
      <w:marRight w:val="0"/>
      <w:marTop w:val="0"/>
      <w:marBottom w:val="0"/>
      <w:divBdr>
        <w:top w:val="none" w:sz="0" w:space="0" w:color="auto"/>
        <w:left w:val="none" w:sz="0" w:space="0" w:color="auto"/>
        <w:bottom w:val="none" w:sz="0" w:space="0" w:color="auto"/>
        <w:right w:val="none" w:sz="0" w:space="0" w:color="auto"/>
      </w:divBdr>
    </w:div>
    <w:div w:id="815028895">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4856341">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5783639">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29176768">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4904917">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2690500">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6771616">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3560729">
      <w:bodyDiv w:val="1"/>
      <w:marLeft w:val="0"/>
      <w:marRight w:val="0"/>
      <w:marTop w:val="0"/>
      <w:marBottom w:val="0"/>
      <w:divBdr>
        <w:top w:val="none" w:sz="0" w:space="0" w:color="auto"/>
        <w:left w:val="none" w:sz="0" w:space="0" w:color="auto"/>
        <w:bottom w:val="none" w:sz="0" w:space="0" w:color="auto"/>
        <w:right w:val="none" w:sz="0" w:space="0" w:color="auto"/>
      </w:divBdr>
    </w:div>
    <w:div w:id="88483351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3077139">
      <w:bodyDiv w:val="1"/>
      <w:marLeft w:val="0"/>
      <w:marRight w:val="0"/>
      <w:marTop w:val="0"/>
      <w:marBottom w:val="0"/>
      <w:divBdr>
        <w:top w:val="none" w:sz="0" w:space="0" w:color="auto"/>
        <w:left w:val="none" w:sz="0" w:space="0" w:color="auto"/>
        <w:bottom w:val="none" w:sz="0" w:space="0" w:color="auto"/>
        <w:right w:val="none" w:sz="0" w:space="0" w:color="auto"/>
      </w:divBdr>
    </w:div>
    <w:div w:id="893393435">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5167477">
      <w:bodyDiv w:val="1"/>
      <w:marLeft w:val="0"/>
      <w:marRight w:val="0"/>
      <w:marTop w:val="0"/>
      <w:marBottom w:val="0"/>
      <w:divBdr>
        <w:top w:val="none" w:sz="0" w:space="0" w:color="auto"/>
        <w:left w:val="none" w:sz="0" w:space="0" w:color="auto"/>
        <w:bottom w:val="none" w:sz="0" w:space="0" w:color="auto"/>
        <w:right w:val="none" w:sz="0" w:space="0" w:color="auto"/>
      </w:divBdr>
    </w:div>
    <w:div w:id="895821743">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0215526">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3852463">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182334">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4530107">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44072833">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1404284">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58531430">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1011485">
      <w:bodyDiv w:val="1"/>
      <w:marLeft w:val="0"/>
      <w:marRight w:val="0"/>
      <w:marTop w:val="0"/>
      <w:marBottom w:val="0"/>
      <w:divBdr>
        <w:top w:val="none" w:sz="0" w:space="0" w:color="auto"/>
        <w:left w:val="none" w:sz="0" w:space="0" w:color="auto"/>
        <w:bottom w:val="none" w:sz="0" w:space="0" w:color="auto"/>
        <w:right w:val="none" w:sz="0" w:space="0" w:color="auto"/>
      </w:divBdr>
    </w:div>
    <w:div w:id="974333338">
      <w:bodyDiv w:val="1"/>
      <w:marLeft w:val="0"/>
      <w:marRight w:val="0"/>
      <w:marTop w:val="0"/>
      <w:marBottom w:val="0"/>
      <w:divBdr>
        <w:top w:val="none" w:sz="0" w:space="0" w:color="auto"/>
        <w:left w:val="none" w:sz="0" w:space="0" w:color="auto"/>
        <w:bottom w:val="none" w:sz="0" w:space="0" w:color="auto"/>
        <w:right w:val="none" w:sz="0" w:space="0" w:color="auto"/>
      </w:divBdr>
    </w:div>
    <w:div w:id="974868660">
      <w:bodyDiv w:val="1"/>
      <w:marLeft w:val="0"/>
      <w:marRight w:val="0"/>
      <w:marTop w:val="0"/>
      <w:marBottom w:val="0"/>
      <w:divBdr>
        <w:top w:val="none" w:sz="0" w:space="0" w:color="auto"/>
        <w:left w:val="none" w:sz="0" w:space="0" w:color="auto"/>
        <w:bottom w:val="none" w:sz="0" w:space="0" w:color="auto"/>
        <w:right w:val="none" w:sz="0" w:space="0" w:color="auto"/>
      </w:divBdr>
    </w:div>
    <w:div w:id="974987161">
      <w:bodyDiv w:val="1"/>
      <w:marLeft w:val="0"/>
      <w:marRight w:val="0"/>
      <w:marTop w:val="0"/>
      <w:marBottom w:val="0"/>
      <w:divBdr>
        <w:top w:val="none" w:sz="0" w:space="0" w:color="auto"/>
        <w:left w:val="none" w:sz="0" w:space="0" w:color="auto"/>
        <w:bottom w:val="none" w:sz="0" w:space="0" w:color="auto"/>
        <w:right w:val="none" w:sz="0" w:space="0" w:color="auto"/>
      </w:divBdr>
    </w:div>
    <w:div w:id="975381090">
      <w:bodyDiv w:val="1"/>
      <w:marLeft w:val="0"/>
      <w:marRight w:val="0"/>
      <w:marTop w:val="0"/>
      <w:marBottom w:val="0"/>
      <w:divBdr>
        <w:top w:val="none" w:sz="0" w:space="0" w:color="auto"/>
        <w:left w:val="none" w:sz="0" w:space="0" w:color="auto"/>
        <w:bottom w:val="none" w:sz="0" w:space="0" w:color="auto"/>
        <w:right w:val="none" w:sz="0" w:space="0" w:color="auto"/>
      </w:divBdr>
    </w:div>
    <w:div w:id="976840249">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85671420">
      <w:bodyDiv w:val="1"/>
      <w:marLeft w:val="0"/>
      <w:marRight w:val="0"/>
      <w:marTop w:val="0"/>
      <w:marBottom w:val="0"/>
      <w:divBdr>
        <w:top w:val="none" w:sz="0" w:space="0" w:color="auto"/>
        <w:left w:val="none" w:sz="0" w:space="0" w:color="auto"/>
        <w:bottom w:val="none" w:sz="0" w:space="0" w:color="auto"/>
        <w:right w:val="none" w:sz="0" w:space="0" w:color="auto"/>
      </w:divBdr>
    </w:div>
    <w:div w:id="986128943">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3653967">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6927367">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1323041">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5837380">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7267649">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1807248">
      <w:bodyDiv w:val="1"/>
      <w:marLeft w:val="0"/>
      <w:marRight w:val="0"/>
      <w:marTop w:val="0"/>
      <w:marBottom w:val="0"/>
      <w:divBdr>
        <w:top w:val="none" w:sz="0" w:space="0" w:color="auto"/>
        <w:left w:val="none" w:sz="0" w:space="0" w:color="auto"/>
        <w:bottom w:val="none" w:sz="0" w:space="0" w:color="auto"/>
        <w:right w:val="none" w:sz="0" w:space="0" w:color="auto"/>
      </w:divBdr>
    </w:div>
    <w:div w:id="105258053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5855815">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731712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032146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3062441">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5640201">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70000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503079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0198911">
      <w:bodyDiv w:val="1"/>
      <w:marLeft w:val="0"/>
      <w:marRight w:val="0"/>
      <w:marTop w:val="0"/>
      <w:marBottom w:val="0"/>
      <w:divBdr>
        <w:top w:val="none" w:sz="0" w:space="0" w:color="auto"/>
        <w:left w:val="none" w:sz="0" w:space="0" w:color="auto"/>
        <w:bottom w:val="none" w:sz="0" w:space="0" w:color="auto"/>
        <w:right w:val="none" w:sz="0" w:space="0" w:color="auto"/>
      </w:divBdr>
    </w:div>
    <w:div w:id="1094591947">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0993331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2146482">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2868120">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1197086">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4473146">
      <w:bodyDiv w:val="1"/>
      <w:marLeft w:val="0"/>
      <w:marRight w:val="0"/>
      <w:marTop w:val="0"/>
      <w:marBottom w:val="0"/>
      <w:divBdr>
        <w:top w:val="none" w:sz="0" w:space="0" w:color="auto"/>
        <w:left w:val="none" w:sz="0" w:space="0" w:color="auto"/>
        <w:bottom w:val="none" w:sz="0" w:space="0" w:color="auto"/>
        <w:right w:val="none" w:sz="0" w:space="0" w:color="auto"/>
      </w:divBdr>
    </w:div>
    <w:div w:id="1144737315">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4830922">
      <w:bodyDiv w:val="1"/>
      <w:marLeft w:val="0"/>
      <w:marRight w:val="0"/>
      <w:marTop w:val="0"/>
      <w:marBottom w:val="0"/>
      <w:divBdr>
        <w:top w:val="none" w:sz="0" w:space="0" w:color="auto"/>
        <w:left w:val="none" w:sz="0" w:space="0" w:color="auto"/>
        <w:bottom w:val="none" w:sz="0" w:space="0" w:color="auto"/>
        <w:right w:val="none" w:sz="0" w:space="0" w:color="auto"/>
      </w:divBdr>
    </w:div>
    <w:div w:id="1155147279">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7587598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884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261948">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6529268">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2038767">
      <w:bodyDiv w:val="1"/>
      <w:marLeft w:val="0"/>
      <w:marRight w:val="0"/>
      <w:marTop w:val="0"/>
      <w:marBottom w:val="0"/>
      <w:divBdr>
        <w:top w:val="none" w:sz="0" w:space="0" w:color="auto"/>
        <w:left w:val="none" w:sz="0" w:space="0" w:color="auto"/>
        <w:bottom w:val="none" w:sz="0" w:space="0" w:color="auto"/>
        <w:right w:val="none" w:sz="0" w:space="0" w:color="auto"/>
      </w:divBdr>
    </w:div>
    <w:div w:id="1216044187">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25339173">
      <w:bodyDiv w:val="1"/>
      <w:marLeft w:val="0"/>
      <w:marRight w:val="0"/>
      <w:marTop w:val="0"/>
      <w:marBottom w:val="0"/>
      <w:divBdr>
        <w:top w:val="none" w:sz="0" w:space="0" w:color="auto"/>
        <w:left w:val="none" w:sz="0" w:space="0" w:color="auto"/>
        <w:bottom w:val="none" w:sz="0" w:space="0" w:color="auto"/>
        <w:right w:val="none" w:sz="0" w:space="0" w:color="auto"/>
      </w:divBdr>
    </w:div>
    <w:div w:id="1228301948">
      <w:bodyDiv w:val="1"/>
      <w:marLeft w:val="0"/>
      <w:marRight w:val="0"/>
      <w:marTop w:val="0"/>
      <w:marBottom w:val="0"/>
      <w:divBdr>
        <w:top w:val="none" w:sz="0" w:space="0" w:color="auto"/>
        <w:left w:val="none" w:sz="0" w:space="0" w:color="auto"/>
        <w:bottom w:val="none" w:sz="0" w:space="0" w:color="auto"/>
        <w:right w:val="none" w:sz="0" w:space="0" w:color="auto"/>
      </w:divBdr>
    </w:div>
    <w:div w:id="1229537675">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2567716">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3584505">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4708950">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6591705">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59368288">
      <w:bodyDiv w:val="1"/>
      <w:marLeft w:val="0"/>
      <w:marRight w:val="0"/>
      <w:marTop w:val="0"/>
      <w:marBottom w:val="0"/>
      <w:divBdr>
        <w:top w:val="none" w:sz="0" w:space="0" w:color="auto"/>
        <w:left w:val="none" w:sz="0" w:space="0" w:color="auto"/>
        <w:bottom w:val="none" w:sz="0" w:space="0" w:color="auto"/>
        <w:right w:val="none" w:sz="0" w:space="0" w:color="auto"/>
      </w:divBdr>
    </w:div>
    <w:div w:id="1263606565">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66307834">
      <w:bodyDiv w:val="1"/>
      <w:marLeft w:val="0"/>
      <w:marRight w:val="0"/>
      <w:marTop w:val="0"/>
      <w:marBottom w:val="0"/>
      <w:divBdr>
        <w:top w:val="none" w:sz="0" w:space="0" w:color="auto"/>
        <w:left w:val="none" w:sz="0" w:space="0" w:color="auto"/>
        <w:bottom w:val="none" w:sz="0" w:space="0" w:color="auto"/>
        <w:right w:val="none" w:sz="0" w:space="0" w:color="auto"/>
      </w:divBdr>
    </w:div>
    <w:div w:id="1268197710">
      <w:bodyDiv w:val="1"/>
      <w:marLeft w:val="0"/>
      <w:marRight w:val="0"/>
      <w:marTop w:val="0"/>
      <w:marBottom w:val="0"/>
      <w:divBdr>
        <w:top w:val="none" w:sz="0" w:space="0" w:color="auto"/>
        <w:left w:val="none" w:sz="0" w:space="0" w:color="auto"/>
        <w:bottom w:val="none" w:sz="0" w:space="0" w:color="auto"/>
        <w:right w:val="none" w:sz="0" w:space="0" w:color="auto"/>
      </w:divBdr>
    </w:div>
    <w:div w:id="1268349429">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2949">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2685273">
      <w:bodyDiv w:val="1"/>
      <w:marLeft w:val="0"/>
      <w:marRight w:val="0"/>
      <w:marTop w:val="0"/>
      <w:marBottom w:val="0"/>
      <w:divBdr>
        <w:top w:val="none" w:sz="0" w:space="0" w:color="auto"/>
        <w:left w:val="none" w:sz="0" w:space="0" w:color="auto"/>
        <w:bottom w:val="none" w:sz="0" w:space="0" w:color="auto"/>
        <w:right w:val="none" w:sz="0" w:space="0" w:color="auto"/>
      </w:divBdr>
    </w:div>
    <w:div w:id="128630477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89513865">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299799547">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3080374">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2853689">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307003">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44548558">
      <w:bodyDiv w:val="1"/>
      <w:marLeft w:val="0"/>
      <w:marRight w:val="0"/>
      <w:marTop w:val="0"/>
      <w:marBottom w:val="0"/>
      <w:divBdr>
        <w:top w:val="none" w:sz="0" w:space="0" w:color="auto"/>
        <w:left w:val="none" w:sz="0" w:space="0" w:color="auto"/>
        <w:bottom w:val="none" w:sz="0" w:space="0" w:color="auto"/>
        <w:right w:val="none" w:sz="0" w:space="0" w:color="auto"/>
      </w:divBdr>
    </w:div>
    <w:div w:id="1350839698">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202692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19981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5406343">
      <w:bodyDiv w:val="1"/>
      <w:marLeft w:val="0"/>
      <w:marRight w:val="0"/>
      <w:marTop w:val="0"/>
      <w:marBottom w:val="0"/>
      <w:divBdr>
        <w:top w:val="none" w:sz="0" w:space="0" w:color="auto"/>
        <w:left w:val="none" w:sz="0" w:space="0" w:color="auto"/>
        <w:bottom w:val="none" w:sz="0" w:space="0" w:color="auto"/>
        <w:right w:val="none" w:sz="0" w:space="0" w:color="auto"/>
      </w:divBdr>
    </w:div>
    <w:div w:id="1367830263">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4189587">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056990">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0591044">
      <w:bodyDiv w:val="1"/>
      <w:marLeft w:val="0"/>
      <w:marRight w:val="0"/>
      <w:marTop w:val="0"/>
      <w:marBottom w:val="0"/>
      <w:divBdr>
        <w:top w:val="none" w:sz="0" w:space="0" w:color="auto"/>
        <w:left w:val="none" w:sz="0" w:space="0" w:color="auto"/>
        <w:bottom w:val="none" w:sz="0" w:space="0" w:color="auto"/>
        <w:right w:val="none" w:sz="0" w:space="0" w:color="auto"/>
      </w:divBdr>
    </w:div>
    <w:div w:id="1401178189">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17288796">
      <w:bodyDiv w:val="1"/>
      <w:marLeft w:val="0"/>
      <w:marRight w:val="0"/>
      <w:marTop w:val="0"/>
      <w:marBottom w:val="0"/>
      <w:divBdr>
        <w:top w:val="none" w:sz="0" w:space="0" w:color="auto"/>
        <w:left w:val="none" w:sz="0" w:space="0" w:color="auto"/>
        <w:bottom w:val="none" w:sz="0" w:space="0" w:color="auto"/>
        <w:right w:val="none" w:sz="0" w:space="0" w:color="auto"/>
      </w:divBdr>
    </w:div>
    <w:div w:id="1419404885">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145245">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425700">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889042">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69517557">
      <w:bodyDiv w:val="1"/>
      <w:marLeft w:val="0"/>
      <w:marRight w:val="0"/>
      <w:marTop w:val="0"/>
      <w:marBottom w:val="0"/>
      <w:divBdr>
        <w:top w:val="none" w:sz="0" w:space="0" w:color="auto"/>
        <w:left w:val="none" w:sz="0" w:space="0" w:color="auto"/>
        <w:bottom w:val="none" w:sz="0" w:space="0" w:color="auto"/>
        <w:right w:val="none" w:sz="0" w:space="0" w:color="auto"/>
      </w:divBdr>
    </w:div>
    <w:div w:id="1471479820">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79571899">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87818977">
      <w:bodyDiv w:val="1"/>
      <w:marLeft w:val="0"/>
      <w:marRight w:val="0"/>
      <w:marTop w:val="0"/>
      <w:marBottom w:val="0"/>
      <w:divBdr>
        <w:top w:val="none" w:sz="0" w:space="0" w:color="auto"/>
        <w:left w:val="none" w:sz="0" w:space="0" w:color="auto"/>
        <w:bottom w:val="none" w:sz="0" w:space="0" w:color="auto"/>
        <w:right w:val="none" w:sz="0" w:space="0" w:color="auto"/>
      </w:divBdr>
    </w:div>
    <w:div w:id="1490362185">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497064859">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6633606">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5874750">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1260689">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3176757">
      <w:bodyDiv w:val="1"/>
      <w:marLeft w:val="0"/>
      <w:marRight w:val="0"/>
      <w:marTop w:val="0"/>
      <w:marBottom w:val="0"/>
      <w:divBdr>
        <w:top w:val="none" w:sz="0" w:space="0" w:color="auto"/>
        <w:left w:val="none" w:sz="0" w:space="0" w:color="auto"/>
        <w:bottom w:val="none" w:sz="0" w:space="0" w:color="auto"/>
        <w:right w:val="none" w:sz="0" w:space="0" w:color="auto"/>
      </w:divBdr>
    </w:div>
    <w:div w:id="1543204170">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295825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68956354">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3508263">
      <w:bodyDiv w:val="1"/>
      <w:marLeft w:val="0"/>
      <w:marRight w:val="0"/>
      <w:marTop w:val="0"/>
      <w:marBottom w:val="0"/>
      <w:divBdr>
        <w:top w:val="none" w:sz="0" w:space="0" w:color="auto"/>
        <w:left w:val="none" w:sz="0" w:space="0" w:color="auto"/>
        <w:bottom w:val="none" w:sz="0" w:space="0" w:color="auto"/>
        <w:right w:val="none" w:sz="0" w:space="0" w:color="auto"/>
      </w:divBdr>
    </w:div>
    <w:div w:id="1594506804">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11737708">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2592556">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52689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47004855">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57875356">
      <w:bodyDiv w:val="1"/>
      <w:marLeft w:val="0"/>
      <w:marRight w:val="0"/>
      <w:marTop w:val="0"/>
      <w:marBottom w:val="0"/>
      <w:divBdr>
        <w:top w:val="none" w:sz="0" w:space="0" w:color="auto"/>
        <w:left w:val="none" w:sz="0" w:space="0" w:color="auto"/>
        <w:bottom w:val="none" w:sz="0" w:space="0" w:color="auto"/>
        <w:right w:val="none" w:sz="0" w:space="0" w:color="auto"/>
      </w:divBdr>
    </w:div>
    <w:div w:id="1659383911">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1253406">
      <w:bodyDiv w:val="1"/>
      <w:marLeft w:val="0"/>
      <w:marRight w:val="0"/>
      <w:marTop w:val="0"/>
      <w:marBottom w:val="0"/>
      <w:divBdr>
        <w:top w:val="none" w:sz="0" w:space="0" w:color="auto"/>
        <w:left w:val="none" w:sz="0" w:space="0" w:color="auto"/>
        <w:bottom w:val="none" w:sz="0" w:space="0" w:color="auto"/>
        <w:right w:val="none" w:sz="0" w:space="0" w:color="auto"/>
      </w:divBdr>
    </w:div>
    <w:div w:id="1674607782">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4554640">
      <w:bodyDiv w:val="1"/>
      <w:marLeft w:val="0"/>
      <w:marRight w:val="0"/>
      <w:marTop w:val="0"/>
      <w:marBottom w:val="0"/>
      <w:divBdr>
        <w:top w:val="none" w:sz="0" w:space="0" w:color="auto"/>
        <w:left w:val="none" w:sz="0" w:space="0" w:color="auto"/>
        <w:bottom w:val="none" w:sz="0" w:space="0" w:color="auto"/>
        <w:right w:val="none" w:sz="0" w:space="0" w:color="auto"/>
      </w:divBdr>
    </w:div>
    <w:div w:id="1686832047">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7541808">
      <w:bodyDiv w:val="1"/>
      <w:marLeft w:val="0"/>
      <w:marRight w:val="0"/>
      <w:marTop w:val="0"/>
      <w:marBottom w:val="0"/>
      <w:divBdr>
        <w:top w:val="none" w:sz="0" w:space="0" w:color="auto"/>
        <w:left w:val="none" w:sz="0" w:space="0" w:color="auto"/>
        <w:bottom w:val="none" w:sz="0" w:space="0" w:color="auto"/>
        <w:right w:val="none" w:sz="0" w:space="0" w:color="auto"/>
      </w:divBdr>
    </w:div>
    <w:div w:id="1697806677">
      <w:bodyDiv w:val="1"/>
      <w:marLeft w:val="0"/>
      <w:marRight w:val="0"/>
      <w:marTop w:val="0"/>
      <w:marBottom w:val="0"/>
      <w:divBdr>
        <w:top w:val="none" w:sz="0" w:space="0" w:color="auto"/>
        <w:left w:val="none" w:sz="0" w:space="0" w:color="auto"/>
        <w:bottom w:val="none" w:sz="0" w:space="0" w:color="auto"/>
        <w:right w:val="none" w:sz="0" w:space="0" w:color="auto"/>
      </w:divBdr>
    </w:div>
    <w:div w:id="1698116338">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0468383">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3675292">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3113159">
      <w:bodyDiv w:val="1"/>
      <w:marLeft w:val="0"/>
      <w:marRight w:val="0"/>
      <w:marTop w:val="0"/>
      <w:marBottom w:val="0"/>
      <w:divBdr>
        <w:top w:val="none" w:sz="0" w:space="0" w:color="auto"/>
        <w:left w:val="none" w:sz="0" w:space="0" w:color="auto"/>
        <w:bottom w:val="none" w:sz="0" w:space="0" w:color="auto"/>
        <w:right w:val="none" w:sz="0" w:space="0" w:color="auto"/>
      </w:divBdr>
    </w:div>
    <w:div w:id="1713187179">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0881421">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7360862">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0098221">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79991265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222583">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398119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006576">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5196956">
      <w:bodyDiv w:val="1"/>
      <w:marLeft w:val="0"/>
      <w:marRight w:val="0"/>
      <w:marTop w:val="0"/>
      <w:marBottom w:val="0"/>
      <w:divBdr>
        <w:top w:val="none" w:sz="0" w:space="0" w:color="auto"/>
        <w:left w:val="none" w:sz="0" w:space="0" w:color="auto"/>
        <w:bottom w:val="none" w:sz="0" w:space="0" w:color="auto"/>
        <w:right w:val="none" w:sz="0" w:space="0" w:color="auto"/>
      </w:divBdr>
    </w:div>
    <w:div w:id="182827829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35100323">
      <w:bodyDiv w:val="1"/>
      <w:marLeft w:val="0"/>
      <w:marRight w:val="0"/>
      <w:marTop w:val="0"/>
      <w:marBottom w:val="0"/>
      <w:divBdr>
        <w:top w:val="none" w:sz="0" w:space="0" w:color="auto"/>
        <w:left w:val="none" w:sz="0" w:space="0" w:color="auto"/>
        <w:bottom w:val="none" w:sz="0" w:space="0" w:color="auto"/>
        <w:right w:val="none" w:sz="0" w:space="0" w:color="auto"/>
      </w:divBdr>
    </w:div>
    <w:div w:id="1840806057">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6454769">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638306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79972224">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225235">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3299435">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323158">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062420">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09878634">
      <w:bodyDiv w:val="1"/>
      <w:marLeft w:val="0"/>
      <w:marRight w:val="0"/>
      <w:marTop w:val="0"/>
      <w:marBottom w:val="0"/>
      <w:divBdr>
        <w:top w:val="none" w:sz="0" w:space="0" w:color="auto"/>
        <w:left w:val="none" w:sz="0" w:space="0" w:color="auto"/>
        <w:bottom w:val="none" w:sz="0" w:space="0" w:color="auto"/>
        <w:right w:val="none" w:sz="0" w:space="0" w:color="auto"/>
      </w:divBdr>
    </w:div>
    <w:div w:id="1914468265">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2453175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1423197">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5599460">
      <w:bodyDiv w:val="1"/>
      <w:marLeft w:val="0"/>
      <w:marRight w:val="0"/>
      <w:marTop w:val="0"/>
      <w:marBottom w:val="0"/>
      <w:divBdr>
        <w:top w:val="none" w:sz="0" w:space="0" w:color="auto"/>
        <w:left w:val="none" w:sz="0" w:space="0" w:color="auto"/>
        <w:bottom w:val="none" w:sz="0" w:space="0" w:color="auto"/>
        <w:right w:val="none" w:sz="0" w:space="0" w:color="auto"/>
      </w:divBdr>
    </w:div>
    <w:div w:id="1958371876">
      <w:bodyDiv w:val="1"/>
      <w:marLeft w:val="0"/>
      <w:marRight w:val="0"/>
      <w:marTop w:val="0"/>
      <w:marBottom w:val="0"/>
      <w:divBdr>
        <w:top w:val="none" w:sz="0" w:space="0" w:color="auto"/>
        <w:left w:val="none" w:sz="0" w:space="0" w:color="auto"/>
        <w:bottom w:val="none" w:sz="0" w:space="0" w:color="auto"/>
        <w:right w:val="none" w:sz="0" w:space="0" w:color="auto"/>
      </w:divBdr>
    </w:div>
    <w:div w:id="195894645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78994770">
      <w:bodyDiv w:val="1"/>
      <w:marLeft w:val="0"/>
      <w:marRight w:val="0"/>
      <w:marTop w:val="0"/>
      <w:marBottom w:val="0"/>
      <w:divBdr>
        <w:top w:val="none" w:sz="0" w:space="0" w:color="auto"/>
        <w:left w:val="none" w:sz="0" w:space="0" w:color="auto"/>
        <w:bottom w:val="none" w:sz="0" w:space="0" w:color="auto"/>
        <w:right w:val="none" w:sz="0" w:space="0" w:color="auto"/>
      </w:divBdr>
    </w:div>
    <w:div w:id="198118475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88627325">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4916145">
      <w:bodyDiv w:val="1"/>
      <w:marLeft w:val="0"/>
      <w:marRight w:val="0"/>
      <w:marTop w:val="0"/>
      <w:marBottom w:val="0"/>
      <w:divBdr>
        <w:top w:val="none" w:sz="0" w:space="0" w:color="auto"/>
        <w:left w:val="none" w:sz="0" w:space="0" w:color="auto"/>
        <w:bottom w:val="none" w:sz="0" w:space="0" w:color="auto"/>
        <w:right w:val="none" w:sz="0" w:space="0" w:color="auto"/>
      </w:divBdr>
    </w:div>
    <w:div w:id="1995639119">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23237435">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2216508">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8068629">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4692823">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1590681">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8628541">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096196110">
      <w:bodyDiv w:val="1"/>
      <w:marLeft w:val="0"/>
      <w:marRight w:val="0"/>
      <w:marTop w:val="0"/>
      <w:marBottom w:val="0"/>
      <w:divBdr>
        <w:top w:val="none" w:sz="0" w:space="0" w:color="auto"/>
        <w:left w:val="none" w:sz="0" w:space="0" w:color="auto"/>
        <w:bottom w:val="none" w:sz="0" w:space="0" w:color="auto"/>
        <w:right w:val="none" w:sz="0" w:space="0" w:color="auto"/>
      </w:divBdr>
    </w:div>
    <w:div w:id="2097750429">
      <w:bodyDiv w:val="1"/>
      <w:marLeft w:val="0"/>
      <w:marRight w:val="0"/>
      <w:marTop w:val="0"/>
      <w:marBottom w:val="0"/>
      <w:divBdr>
        <w:top w:val="none" w:sz="0" w:space="0" w:color="auto"/>
        <w:left w:val="none" w:sz="0" w:space="0" w:color="auto"/>
        <w:bottom w:val="none" w:sz="0" w:space="0" w:color="auto"/>
        <w:right w:val="none" w:sz="0" w:space="0" w:color="auto"/>
      </w:divBdr>
    </w:div>
    <w:div w:id="2099791173">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757934">
      <w:bodyDiv w:val="1"/>
      <w:marLeft w:val="0"/>
      <w:marRight w:val="0"/>
      <w:marTop w:val="0"/>
      <w:marBottom w:val="0"/>
      <w:divBdr>
        <w:top w:val="none" w:sz="0" w:space="0" w:color="auto"/>
        <w:left w:val="none" w:sz="0" w:space="0" w:color="auto"/>
        <w:bottom w:val="none" w:sz="0" w:space="0" w:color="auto"/>
        <w:right w:val="none" w:sz="0" w:space="0" w:color="auto"/>
      </w:divBdr>
    </w:div>
    <w:div w:id="2107192116">
      <w:bodyDiv w:val="1"/>
      <w:marLeft w:val="0"/>
      <w:marRight w:val="0"/>
      <w:marTop w:val="0"/>
      <w:marBottom w:val="0"/>
      <w:divBdr>
        <w:top w:val="none" w:sz="0" w:space="0" w:color="auto"/>
        <w:left w:val="none" w:sz="0" w:space="0" w:color="auto"/>
        <w:bottom w:val="none" w:sz="0" w:space="0" w:color="auto"/>
        <w:right w:val="none" w:sz="0" w:space="0" w:color="auto"/>
      </w:divBdr>
    </w:div>
    <w:div w:id="2107342434">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33016858">
      <w:bodyDiv w:val="1"/>
      <w:marLeft w:val="0"/>
      <w:marRight w:val="0"/>
      <w:marTop w:val="0"/>
      <w:marBottom w:val="0"/>
      <w:divBdr>
        <w:top w:val="none" w:sz="0" w:space="0" w:color="auto"/>
        <w:left w:val="none" w:sz="0" w:space="0" w:color="auto"/>
        <w:bottom w:val="none" w:sz="0" w:space="0" w:color="auto"/>
        <w:right w:val="none" w:sz="0" w:space="0" w:color="auto"/>
      </w:divBdr>
    </w:div>
    <w:div w:id="2139643501">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files/rules/sro/nysearca/2025/34-103137.pdf" TargetMode="External"/><Relationship Id="rId13" Type="http://schemas.openxmlformats.org/officeDocument/2006/relationships/hyperlink" Target="https://www.sec.gov/" TargetMode="External"/><Relationship Id="rId18" Type="http://schemas.openxmlformats.org/officeDocument/2006/relationships/hyperlink" Target="https://www.sec.gov/newsroom/speeches-statements/joint-staff-statement-broker-dealer-custody-digital-asset-securit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sec.gov/files/rules/sro/nysearca/2025/34-103140.pdf" TargetMode="External"/><Relationship Id="rId12" Type="http://schemas.openxmlformats.org/officeDocument/2006/relationships/hyperlink" Target="mailto:crypto@sec.gov" TargetMode="External"/><Relationship Id="rId17" Type="http://schemas.openxmlformats.org/officeDocument/2006/relationships/hyperlink" Target="https://www.cftc.gov/PressRoom/PressReleases/9077-25" TargetMode="External"/><Relationship Id="rId2" Type="http://schemas.openxmlformats.org/officeDocument/2006/relationships/numbering" Target="numbering.xml"/><Relationship Id="rId16" Type="http://schemas.openxmlformats.org/officeDocument/2006/relationships/hyperlink" Target="https://www.cftc.gov/sites/default/files/idc/groups/public/@lrfederalregister/documents/file/2013-17958a.pdf" TargetMode="External"/><Relationship Id="rId20" Type="http://schemas.openxmlformats.org/officeDocument/2006/relationships/hyperlink" Target="mailto:unsubscribe@charltonslaw.com?subject=unsubscribe%20-Hong%20Kong%20Law-" TargetMode="External"/><Relationship Id="rId1" Type="http://schemas.openxmlformats.org/officeDocument/2006/relationships/customXml" Target="../customXml/item1.xml"/><Relationship Id="rId6" Type="http://schemas.openxmlformats.org/officeDocument/2006/relationships/hyperlink" Target="https://www.sec.gov/files/rules/sro/nysearca/2025/34-103140.pdf" TargetMode="External"/><Relationship Id="rId11" Type="http://schemas.openxmlformats.org/officeDocument/2006/relationships/hyperlink" Target="https://www.sec.gov/" TargetMode="External"/><Relationship Id="rId5" Type="http://schemas.openxmlformats.org/officeDocument/2006/relationships/webSettings" Target="webSettings.xml"/><Relationship Id="rId15" Type="http://schemas.openxmlformats.org/officeDocument/2006/relationships/hyperlink" Target="https://www.cftc.gov/PressRoom/PressReleases/9078-25" TargetMode="External"/><Relationship Id="rId10" Type="http://schemas.openxmlformats.org/officeDocument/2006/relationships/hyperlink" Target="https://www.sec.gov/newsroom/meetings-events/defi-american-spirit" TargetMode="External"/><Relationship Id="rId19" Type="http://schemas.openxmlformats.org/officeDocument/2006/relationships/hyperlink" Target="https://www.sec.gov/newsroom/speeches-statements/withdrawal-joint-staff-statement-broker-dealer-custody-digital-asset-securities" TargetMode="External"/><Relationship Id="rId4" Type="http://schemas.openxmlformats.org/officeDocument/2006/relationships/settings" Target="settings.xml"/><Relationship Id="rId9" Type="http://schemas.openxmlformats.org/officeDocument/2006/relationships/hyperlink" Target="https://www.sec.gov/files/rules/sro/nysearca/2025/34-103137.pdf" TargetMode="External"/><Relationship Id="rId14" Type="http://schemas.openxmlformats.org/officeDocument/2006/relationships/hyperlink" Target="https://www.sec.gov/newsroom/press-releases/2025-78-sec-announces-agenda-panelists-roundtable-crypto-def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9929</TotalTime>
  <Pages>7</Pages>
  <Words>3154</Words>
  <Characters>17981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589</cp:revision>
  <dcterms:created xsi:type="dcterms:W3CDTF">2024-12-09T10:39:00Z</dcterms:created>
  <dcterms:modified xsi:type="dcterms:W3CDTF">2025-05-30T10:17:00Z</dcterms:modified>
</cp:coreProperties>
</file>