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B509319"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4E264B">
        <w:rPr>
          <w:rFonts w:ascii="Arial" w:eastAsia="Cambria" w:hAnsi="Arial" w:cs="Arial"/>
          <w:color w:val="FFFFFF"/>
          <w:lang w:val="en-GB"/>
        </w:rPr>
        <w:t>5</w:t>
      </w:r>
      <w:r w:rsidR="006F6A24">
        <w:rPr>
          <w:rFonts w:ascii="Arial" w:eastAsia="Cambria" w:hAnsi="Arial" w:cs="Arial"/>
          <w:color w:val="FFFFFF"/>
          <w:lang w:val="en-GB"/>
        </w:rPr>
        <w:t>2</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D49C2">
        <w:rPr>
          <w:rFonts w:ascii="Arial" w:eastAsia="Cambria" w:hAnsi="Arial" w:cs="Arial"/>
          <w:color w:val="FFFFFF"/>
          <w:lang w:val="en-GB"/>
        </w:rPr>
        <w:t>Ju</w:t>
      </w:r>
      <w:r w:rsidR="006F6A24">
        <w:rPr>
          <w:rFonts w:ascii="Arial" w:eastAsia="Cambria" w:hAnsi="Arial" w:cs="Arial"/>
          <w:color w:val="FFFFFF"/>
          <w:lang w:val="en-GB"/>
        </w:rPr>
        <w:t>ly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37A47959"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177B8">
        <w:rPr>
          <w:rFonts w:ascii="Arial" w:eastAsia="Cambria" w:hAnsi="Arial" w:cs="Arial"/>
          <w:sz w:val="28"/>
          <w:szCs w:val="24"/>
          <w:lang w:val="en-GB"/>
        </w:rPr>
        <w:instrText>HYPERLINK "https://charltonsquantum.com/quantum-updates-52-swiss-finma-risk-diversification-liquidity-consultation/"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4E466DB" w14:textId="1D76AFA4" w:rsidR="00E4055D" w:rsidRPr="00B004D8" w:rsidRDefault="005B0584" w:rsidP="00B004D8">
      <w:pPr>
        <w:spacing w:after="200"/>
        <w:rPr>
          <w:b/>
          <w:bCs/>
          <w:color w:val="FF6E00"/>
          <w:lang w:val="en-PH"/>
        </w:rPr>
      </w:pPr>
      <w:r>
        <w:rPr>
          <w:rFonts w:ascii="Arial" w:eastAsia="Cambria" w:hAnsi="Arial" w:cs="Arial"/>
          <w:sz w:val="28"/>
          <w:szCs w:val="24"/>
          <w:lang w:val="en-GB"/>
        </w:rPr>
        <w:fldChar w:fldCharType="end"/>
      </w:r>
    </w:p>
    <w:p w14:paraId="52D97231" w14:textId="77777777" w:rsidR="00296FE8" w:rsidRPr="00584A57" w:rsidRDefault="00296FE8" w:rsidP="00296FE8">
      <w:pPr>
        <w:jc w:val="both"/>
        <w:rPr>
          <w:b/>
          <w:bCs/>
          <w:color w:val="FF6E00"/>
          <w:lang w:val="en-PH"/>
        </w:rPr>
      </w:pPr>
      <w:r w:rsidRPr="00584A57">
        <w:rPr>
          <w:b/>
          <w:bCs/>
          <w:color w:val="FF6E00"/>
          <w:lang w:val="en-PH"/>
        </w:rPr>
        <w:t>Swiss FINMA Opens Consultation on Risk Diversification and Liquidity Ordinances for Banks and Securities Firms</w:t>
      </w:r>
    </w:p>
    <w:p w14:paraId="7AFE97E4" w14:textId="77777777" w:rsidR="00296FE8" w:rsidRPr="00584A57" w:rsidRDefault="00296FE8" w:rsidP="00296FE8">
      <w:pPr>
        <w:jc w:val="both"/>
        <w:rPr>
          <w:rFonts w:eastAsia="Times New Roman"/>
          <w:bCs/>
          <w:lang w:val="en-PH"/>
        </w:rPr>
      </w:pPr>
      <w:r w:rsidRPr="00584A57">
        <w:rPr>
          <w:rFonts w:eastAsia="Times New Roman"/>
          <w:bCs/>
          <w:lang w:val="en-PH"/>
        </w:rPr>
        <w:t>On 3 July 2025, the Swiss Financial Market Supervisory Authority (</w:t>
      </w:r>
      <w:r w:rsidRPr="00584A57">
        <w:rPr>
          <w:rFonts w:eastAsia="Times New Roman"/>
          <w:b/>
          <w:bCs/>
          <w:lang w:val="en-PH"/>
        </w:rPr>
        <w:t>FINMA</w:t>
      </w:r>
      <w:r w:rsidRPr="00584A57">
        <w:rPr>
          <w:rFonts w:eastAsia="Times New Roman"/>
          <w:bCs/>
          <w:lang w:val="en-PH"/>
        </w:rPr>
        <w:t>) launched consultations on two new ordinances, the </w:t>
      </w:r>
      <w:hyperlink r:id="rId8" w:tgtFrame="_blank" w:history="1">
        <w:r w:rsidRPr="002D2C05">
          <w:rPr>
            <w:rStyle w:val="Hyperlink"/>
            <w:rFonts w:eastAsia="Times New Roman"/>
            <w:bCs/>
            <w:color w:val="FF6E00"/>
            <w:u w:val="none"/>
            <w:lang w:val="en-PH"/>
          </w:rPr>
          <w:t>Ordinance on the Risk Diversification of Banks and Securities Firms</w:t>
        </w:r>
      </w:hyperlink>
      <w:r w:rsidRPr="00584A57">
        <w:rPr>
          <w:rFonts w:eastAsia="Times New Roman"/>
          <w:bCs/>
          <w:lang w:val="en-PH"/>
        </w:rPr>
        <w:t> (</w:t>
      </w:r>
      <w:r w:rsidRPr="00584A57">
        <w:rPr>
          <w:rFonts w:eastAsia="Times New Roman"/>
          <w:b/>
          <w:bCs/>
          <w:lang w:val="en-PH"/>
        </w:rPr>
        <w:t>RDO-FINMA</w:t>
      </w:r>
      <w:r w:rsidRPr="00584A57">
        <w:rPr>
          <w:rFonts w:eastAsia="Times New Roman"/>
          <w:bCs/>
          <w:lang w:val="en-PH"/>
        </w:rPr>
        <w:t>) and the </w:t>
      </w:r>
      <w:hyperlink r:id="rId9" w:tgtFrame="_blank" w:history="1">
        <w:r w:rsidRPr="002D2C05">
          <w:rPr>
            <w:rStyle w:val="Hyperlink"/>
            <w:rFonts w:eastAsia="Times New Roman"/>
            <w:bCs/>
            <w:color w:val="FF6E00"/>
            <w:u w:val="none"/>
            <w:lang w:val="en-PH"/>
          </w:rPr>
          <w:t>Ordinance on the Liquidity of Banks and Securities Firms</w:t>
        </w:r>
      </w:hyperlink>
      <w:r w:rsidRPr="00584A57">
        <w:rPr>
          <w:rFonts w:eastAsia="Times New Roman"/>
          <w:bCs/>
          <w:lang w:val="en-PH"/>
        </w:rPr>
        <w:t> (</w:t>
      </w:r>
      <w:r w:rsidRPr="00584A57">
        <w:rPr>
          <w:rFonts w:eastAsia="Times New Roman"/>
          <w:b/>
          <w:bCs/>
          <w:lang w:val="en-PH"/>
        </w:rPr>
        <w:t>LiqO-FINMA</w:t>
      </w:r>
      <w:r w:rsidRPr="00584A57">
        <w:rPr>
          <w:rFonts w:eastAsia="Times New Roman"/>
          <w:bCs/>
          <w:lang w:val="en-PH"/>
        </w:rPr>
        <w:t>), set to replace three existing FINMA circulars and take effect from 1 January 2027.</w:t>
      </w:r>
    </w:p>
    <w:p w14:paraId="1415FAB8" w14:textId="77777777" w:rsidR="00296FE8" w:rsidRPr="00584A57" w:rsidRDefault="00296FE8" w:rsidP="00296FE8">
      <w:pPr>
        <w:jc w:val="both"/>
        <w:rPr>
          <w:rFonts w:eastAsia="Times New Roman"/>
          <w:bCs/>
          <w:lang w:val="en-PH"/>
        </w:rPr>
      </w:pPr>
      <w:r w:rsidRPr="00584A57">
        <w:rPr>
          <w:rFonts w:eastAsia="Times New Roman"/>
          <w:bCs/>
          <w:lang w:val="en-PH"/>
        </w:rPr>
        <w:t>The consultation, which runs until 29 September 2025, aims to establish FINMA’s regulatory hierarchy obligations under Article 7(1) of the </w:t>
      </w:r>
      <w:hyperlink r:id="rId10" w:tgtFrame="_blank" w:history="1">
        <w:r w:rsidRPr="002D2C05">
          <w:rPr>
            <w:rStyle w:val="Hyperlink"/>
            <w:rFonts w:eastAsia="Times New Roman"/>
            <w:bCs/>
            <w:color w:val="FF6E00"/>
            <w:u w:val="none"/>
            <w:lang w:val="en-PH"/>
          </w:rPr>
          <w:t>Swiss Financial Market Supervision Act</w:t>
        </w:r>
      </w:hyperlink>
      <w:r w:rsidRPr="00584A57">
        <w:rPr>
          <w:rFonts w:eastAsia="Times New Roman"/>
          <w:bCs/>
          <w:lang w:val="en-PH"/>
        </w:rPr>
        <w:t> (</w:t>
      </w:r>
      <w:r w:rsidRPr="00584A57">
        <w:rPr>
          <w:rFonts w:eastAsia="Times New Roman"/>
          <w:b/>
          <w:bCs/>
          <w:lang w:val="en-PH"/>
        </w:rPr>
        <w:t>FINMASA)</w:t>
      </w:r>
      <w:r w:rsidRPr="00584A57">
        <w:rPr>
          <w:rFonts w:eastAsia="Times New Roman"/>
          <w:bCs/>
          <w:lang w:val="en-PH"/>
        </w:rPr>
        <w:t>. The new ordinances will replace </w:t>
      </w:r>
      <w:hyperlink r:id="rId11" w:tgtFrame="_blank" w:history="1">
        <w:r w:rsidRPr="002D2C05">
          <w:rPr>
            <w:rStyle w:val="Hyperlink"/>
            <w:rFonts w:eastAsia="Times New Roman"/>
            <w:bCs/>
            <w:color w:val="FF6E00"/>
            <w:u w:val="none"/>
            <w:lang w:val="en-PH"/>
          </w:rPr>
          <w:t>FINMA Circulars 2019/1</w:t>
        </w:r>
      </w:hyperlink>
      <w:r w:rsidRPr="00584A57">
        <w:rPr>
          <w:rFonts w:eastAsia="Times New Roman"/>
          <w:bCs/>
          <w:lang w:val="en-PH"/>
        </w:rPr>
        <w:t> (Risk Diversification), </w:t>
      </w:r>
      <w:hyperlink r:id="rId12" w:tgtFrame="_blank" w:history="1">
        <w:r w:rsidRPr="002D2C05">
          <w:rPr>
            <w:rStyle w:val="Hyperlink"/>
            <w:rFonts w:eastAsia="Times New Roman"/>
            <w:bCs/>
            <w:color w:val="FF6E00"/>
            <w:u w:val="none"/>
            <w:lang w:val="en-PH"/>
          </w:rPr>
          <w:t>FINMA Circular 2013/7</w:t>
        </w:r>
      </w:hyperlink>
      <w:r w:rsidRPr="00584A57">
        <w:rPr>
          <w:rFonts w:eastAsia="Times New Roman"/>
          <w:bCs/>
          <w:lang w:val="en-PH"/>
        </w:rPr>
        <w:t> (Intra-Group Position Limits), and </w:t>
      </w:r>
      <w:hyperlink r:id="rId13" w:tgtFrame="_blank" w:history="1">
        <w:r w:rsidRPr="002D2C05">
          <w:rPr>
            <w:rStyle w:val="Hyperlink"/>
            <w:rFonts w:eastAsia="Times New Roman"/>
            <w:bCs/>
            <w:color w:val="FF6E00"/>
            <w:u w:val="none"/>
            <w:lang w:val="en-PH"/>
          </w:rPr>
          <w:t>FINMA Circular 2015/2</w:t>
        </w:r>
      </w:hyperlink>
      <w:r w:rsidRPr="00584A57">
        <w:rPr>
          <w:rFonts w:eastAsia="Times New Roman"/>
          <w:bCs/>
          <w:lang w:val="en-PH"/>
        </w:rPr>
        <w:t> (Liquidity Risks). FINMA stated that the content remains substantially consistent, with targeted technical updates aligned with Basel III reforms and industry feedback.</w:t>
      </w:r>
    </w:p>
    <w:p w14:paraId="2A40261C" w14:textId="77777777" w:rsidR="00296FE8" w:rsidRPr="00584A57" w:rsidRDefault="00296FE8" w:rsidP="00296FE8">
      <w:pPr>
        <w:jc w:val="both"/>
        <w:rPr>
          <w:rFonts w:eastAsia="Times New Roman"/>
          <w:bCs/>
          <w:lang w:val="en-PH"/>
        </w:rPr>
      </w:pPr>
      <w:r w:rsidRPr="00584A57">
        <w:rPr>
          <w:rFonts w:eastAsia="Times New Roman"/>
          <w:bCs/>
          <w:lang w:val="en-PH"/>
        </w:rPr>
        <w:t>With the adoption of the two new ordinances, FINMA is executing a systematic consolidation and upgrade of existing regulatory guidance into formalised secondary legislation. The circulars being repealed are FINMA Circulars 2019/1, 2013/7, and 2015/2, which have previously governed risk diversification thresholds, intra-group exposures, and liquidity management practices for Swiss banks and securities dealers.</w:t>
      </w:r>
    </w:p>
    <w:p w14:paraId="7A02BBA9" w14:textId="77777777" w:rsidR="00296FE8" w:rsidRPr="00584A57" w:rsidRDefault="00296FE8" w:rsidP="00296FE8">
      <w:pPr>
        <w:jc w:val="both"/>
        <w:rPr>
          <w:rFonts w:eastAsia="Times New Roman"/>
          <w:bCs/>
          <w:lang w:val="en-PH"/>
        </w:rPr>
      </w:pPr>
      <w:r w:rsidRPr="00584A57">
        <w:rPr>
          <w:rFonts w:eastAsia="Times New Roman"/>
          <w:bCs/>
          <w:u w:val="single"/>
          <w:lang w:val="en-PH"/>
        </w:rPr>
        <w:t>RDO-FINMA: Risk Diversification</w:t>
      </w:r>
    </w:p>
    <w:p w14:paraId="55E64B23" w14:textId="77777777" w:rsidR="00296FE8" w:rsidRPr="00584A57" w:rsidRDefault="00296FE8" w:rsidP="00296FE8">
      <w:pPr>
        <w:jc w:val="both"/>
        <w:rPr>
          <w:rFonts w:eastAsia="Times New Roman"/>
          <w:bCs/>
          <w:lang w:val="en-PH"/>
        </w:rPr>
      </w:pPr>
      <w:r w:rsidRPr="00584A57">
        <w:rPr>
          <w:rFonts w:eastAsia="Times New Roman"/>
          <w:bCs/>
          <w:lang w:val="en-PH"/>
        </w:rPr>
        <w:t>The Ordinance on the Risk Diversification of Banks and Securities Firms (</w:t>
      </w:r>
      <w:r w:rsidRPr="00584A57">
        <w:rPr>
          <w:rFonts w:eastAsia="Times New Roman"/>
          <w:b/>
          <w:bCs/>
          <w:lang w:val="en-PH"/>
        </w:rPr>
        <w:t>RDO-FINMA</w:t>
      </w:r>
      <w:r w:rsidRPr="00584A57">
        <w:rPr>
          <w:rFonts w:eastAsia="Times New Roman"/>
          <w:bCs/>
          <w:lang w:val="en-PH"/>
        </w:rPr>
        <w:t>) primarily codifies existing rules but incorporates limited substantive revisions. Amendments include alignment with the final Basel III standardised approach for market risks, which came into effect globally on 1 January 2025. These changes refine the calculation of trading book exposures under the new framework. The ordinance introduces clarified provisions regarding guarantees from foreign group entities within the context of intra-group position limits.</w:t>
      </w:r>
    </w:p>
    <w:p w14:paraId="7EDD6A95" w14:textId="77777777" w:rsidR="00296FE8" w:rsidRPr="00584A57" w:rsidRDefault="00296FE8" w:rsidP="00296FE8">
      <w:pPr>
        <w:jc w:val="both"/>
        <w:rPr>
          <w:rFonts w:eastAsia="Times New Roman"/>
          <w:bCs/>
          <w:lang w:val="en-PH"/>
        </w:rPr>
      </w:pPr>
      <w:r w:rsidRPr="00584A57">
        <w:rPr>
          <w:rFonts w:eastAsia="Times New Roman"/>
          <w:bCs/>
          <w:u w:val="single"/>
          <w:lang w:val="en-PH"/>
        </w:rPr>
        <w:t>LiqO-FINMA: Liquidity Requirements</w:t>
      </w:r>
    </w:p>
    <w:p w14:paraId="0F4ED36A" w14:textId="77777777" w:rsidR="00296FE8" w:rsidRPr="00584A57" w:rsidRDefault="00296FE8" w:rsidP="00296FE8">
      <w:pPr>
        <w:jc w:val="both"/>
        <w:rPr>
          <w:rFonts w:eastAsia="Times New Roman"/>
          <w:bCs/>
          <w:lang w:val="en-PH"/>
        </w:rPr>
      </w:pPr>
      <w:r w:rsidRPr="00584A57">
        <w:rPr>
          <w:rFonts w:eastAsia="Times New Roman"/>
          <w:bCs/>
          <w:lang w:val="en-PH"/>
        </w:rPr>
        <w:t>The Ordinance on the Liquidity of Banks and Securities Firms (</w:t>
      </w:r>
      <w:r w:rsidRPr="00584A57">
        <w:rPr>
          <w:rFonts w:eastAsia="Times New Roman"/>
          <w:b/>
          <w:bCs/>
          <w:lang w:val="en-PH"/>
        </w:rPr>
        <w:t>LiqO-FINMA</w:t>
      </w:r>
      <w:r w:rsidRPr="00584A57">
        <w:rPr>
          <w:rFonts w:eastAsia="Times New Roman"/>
          <w:bCs/>
          <w:lang w:val="en-PH"/>
        </w:rPr>
        <w:t>) largely transposes the provisions of FINMA Circular 2015/2, while adding technical implementation rules that reflect ongoing amendments to the Federal Council’s LiqO ordinance. These updates are partly driven by the Swiss government’s “too big to fail” (</w:t>
      </w:r>
      <w:r w:rsidRPr="00584A57">
        <w:rPr>
          <w:rFonts w:eastAsia="Times New Roman"/>
          <w:b/>
          <w:bCs/>
          <w:lang w:val="en-PH"/>
        </w:rPr>
        <w:t>TBTF</w:t>
      </w:r>
      <w:r w:rsidRPr="00584A57">
        <w:rPr>
          <w:rFonts w:eastAsia="Times New Roman"/>
          <w:bCs/>
          <w:lang w:val="en-PH"/>
        </w:rPr>
        <w:t>) initiative and involve the supplementation of Article 7(1) of the Federal Council’s LiqO with explicit requirements for liquidity and financial planning. The new ordinance also addresses specific concerns raised by market participants during preliminary engagements.</w:t>
      </w:r>
    </w:p>
    <w:p w14:paraId="5E113198" w14:textId="77777777" w:rsidR="00296FE8" w:rsidRPr="00584A57" w:rsidRDefault="00296FE8" w:rsidP="00296FE8">
      <w:pPr>
        <w:jc w:val="both"/>
        <w:rPr>
          <w:rFonts w:eastAsia="Times New Roman"/>
          <w:bCs/>
          <w:lang w:val="en-PH"/>
        </w:rPr>
      </w:pPr>
      <w:r w:rsidRPr="00584A57">
        <w:rPr>
          <w:rFonts w:eastAsia="Times New Roman"/>
          <w:bCs/>
          <w:u w:val="single"/>
          <w:lang w:val="en-PH"/>
        </w:rPr>
        <w:t>Implementation Timeline and Regulatory Impact</w:t>
      </w:r>
    </w:p>
    <w:p w14:paraId="54A874E0" w14:textId="77777777" w:rsidR="00296FE8" w:rsidRPr="00584A57" w:rsidRDefault="00296FE8" w:rsidP="00296FE8">
      <w:pPr>
        <w:jc w:val="both"/>
        <w:rPr>
          <w:rFonts w:eastAsia="Times New Roman"/>
          <w:bCs/>
          <w:lang w:val="en-PH"/>
        </w:rPr>
      </w:pPr>
      <w:r w:rsidRPr="00584A57">
        <w:rPr>
          <w:rFonts w:eastAsia="Times New Roman"/>
          <w:bCs/>
          <w:lang w:val="en-PH"/>
        </w:rPr>
        <w:t xml:space="preserve">Subject to the outcomes of the consultation, both RDO-FINMA and LiqO-FINMA are scheduled to come into force on 1 January 2027, synchronised with the repeal of the three </w:t>
      </w:r>
      <w:proofErr w:type="gramStart"/>
      <w:r w:rsidRPr="00584A57">
        <w:rPr>
          <w:rFonts w:eastAsia="Times New Roman"/>
          <w:bCs/>
          <w:lang w:val="en-PH"/>
        </w:rPr>
        <w:t>aforementioned circulars</w:t>
      </w:r>
      <w:proofErr w:type="gramEnd"/>
      <w:r w:rsidRPr="00584A57">
        <w:rPr>
          <w:rFonts w:eastAsia="Times New Roman"/>
          <w:bCs/>
          <w:lang w:val="en-PH"/>
        </w:rPr>
        <w:t xml:space="preserve">. FINMA has assured stakeholders that the new ordinances will not introduce substantial new obligations, aside </w:t>
      </w:r>
      <w:r w:rsidRPr="00584A57">
        <w:rPr>
          <w:rFonts w:eastAsia="Times New Roman"/>
          <w:bCs/>
          <w:lang w:val="en-PH"/>
        </w:rPr>
        <w:lastRenderedPageBreak/>
        <w:t>from technical recalibrations already anticipated by the industry. The consultation process is open to banks, securities firms, industry associations, and other affected stakeholders, who are invited to provide feedback by the 29 September 2025 deadline.</w:t>
      </w:r>
    </w:p>
    <w:p w14:paraId="5D989B5A" w14:textId="77777777" w:rsidR="00296FE8" w:rsidRPr="00584A57" w:rsidRDefault="00296FE8" w:rsidP="00296FE8">
      <w:pPr>
        <w:jc w:val="both"/>
        <w:rPr>
          <w:rFonts w:eastAsia="Times New Roman"/>
          <w:bCs/>
          <w:lang w:val="en-PH"/>
        </w:rPr>
      </w:pPr>
      <w:r w:rsidRPr="00584A57">
        <w:rPr>
          <w:rFonts w:eastAsia="Times New Roman"/>
          <w:bCs/>
          <w:lang w:val="en-PH"/>
        </w:rPr>
        <w:t>(Source: </w:t>
      </w:r>
      <w:hyperlink r:id="rId14" w:tgtFrame="_blank" w:history="1">
        <w:r w:rsidRPr="008E537F">
          <w:rPr>
            <w:rStyle w:val="Hyperlink"/>
            <w:rFonts w:eastAsia="Times New Roman"/>
            <w:bCs/>
            <w:color w:val="FF6E00"/>
            <w:lang w:val="en-PH"/>
          </w:rPr>
          <w:t>https://www.finma.ch/en/news/2025/07/20250703-mm-anh-rvv-liq-banken/</w:t>
        </w:r>
      </w:hyperlink>
      <w:r w:rsidRPr="00584A57">
        <w:rPr>
          <w:rFonts w:eastAsia="Times New Roman"/>
          <w:bCs/>
          <w:lang w:val="en-PH"/>
        </w:rPr>
        <w:t>)</w:t>
      </w:r>
    </w:p>
    <w:p w14:paraId="52632D19" w14:textId="77777777" w:rsidR="00296FE8" w:rsidRDefault="00296FE8" w:rsidP="006B4E27">
      <w:pPr>
        <w:jc w:val="both"/>
        <w:rPr>
          <w:b/>
          <w:bCs/>
          <w:color w:val="FF6E00"/>
          <w:lang w:val="en-PH"/>
        </w:rPr>
      </w:pPr>
    </w:p>
    <w:p w14:paraId="62DAFEE5" w14:textId="77777777" w:rsidR="00296FE8" w:rsidRPr="00F214D7" w:rsidRDefault="00296FE8" w:rsidP="00296FE8">
      <w:pPr>
        <w:jc w:val="both"/>
        <w:rPr>
          <w:b/>
          <w:bCs/>
          <w:color w:val="FF6E00"/>
          <w:lang w:val="en-PH"/>
        </w:rPr>
      </w:pPr>
      <w:r w:rsidRPr="00F214D7">
        <w:rPr>
          <w:b/>
          <w:bCs/>
          <w:color w:val="FF6E00"/>
          <w:lang w:val="en-PH"/>
        </w:rPr>
        <w:t>UK FCA Chief Data Officer Jessica Rusu Delivers Policy Remarks on AI Regulation and Innovation at City Week 2025</w:t>
      </w:r>
    </w:p>
    <w:p w14:paraId="06718D82" w14:textId="77777777" w:rsidR="00296FE8" w:rsidRPr="00F214D7" w:rsidRDefault="00296FE8" w:rsidP="00296FE8">
      <w:pPr>
        <w:jc w:val="both"/>
        <w:rPr>
          <w:rFonts w:eastAsia="Times New Roman"/>
          <w:bCs/>
          <w:lang w:val="en-PH"/>
        </w:rPr>
      </w:pPr>
      <w:r w:rsidRPr="00F214D7">
        <w:rPr>
          <w:rFonts w:eastAsia="Times New Roman"/>
          <w:bCs/>
          <w:lang w:val="en-PH"/>
        </w:rPr>
        <w:t>On 1 July 2025, Jessica Rusu, Chief Data, Information and Intelligence Officer of the United Kingdom Financial Conduct Authority (</w:t>
      </w:r>
      <w:r w:rsidRPr="00F214D7">
        <w:rPr>
          <w:rFonts w:eastAsia="Times New Roman"/>
          <w:b/>
          <w:bCs/>
          <w:lang w:val="en-PH"/>
        </w:rPr>
        <w:t>UK FCA</w:t>
      </w:r>
      <w:r w:rsidRPr="00F214D7">
        <w:rPr>
          <w:rFonts w:eastAsia="Times New Roman"/>
          <w:bCs/>
          <w:lang w:val="en-PH"/>
        </w:rPr>
        <w:t>), delivered a speech titled “</w:t>
      </w:r>
      <w:hyperlink r:id="rId15" w:tgtFrame="_blank" w:history="1">
        <w:r w:rsidRPr="00185130">
          <w:rPr>
            <w:rStyle w:val="Hyperlink"/>
            <w:rFonts w:eastAsia="Times New Roman"/>
            <w:bCs/>
            <w:color w:val="FF6E00"/>
            <w:u w:val="none"/>
            <w:lang w:val="en-PH"/>
          </w:rPr>
          <w:t>Harnessing AI and technology to deliver the FCA’s 2025 strategic priorities</w:t>
        </w:r>
      </w:hyperlink>
      <w:r w:rsidRPr="00F214D7">
        <w:rPr>
          <w:rFonts w:eastAsia="Times New Roman"/>
          <w:bCs/>
          <w:lang w:val="en-PH"/>
        </w:rPr>
        <w:t>” at the AI and Digital Innovation Summit during City Week 2025. The speech outlined the UK FCA’s commitment to fostering AI innovation in financial services, emphasizing a pro-growth, proportionate regulatory environment to support technological advancement while ensuring consumer protection and market integrity.</w:t>
      </w:r>
    </w:p>
    <w:p w14:paraId="4D4E606F" w14:textId="77777777" w:rsidR="00296FE8" w:rsidRPr="00F214D7" w:rsidRDefault="00296FE8" w:rsidP="00296FE8">
      <w:pPr>
        <w:jc w:val="both"/>
        <w:rPr>
          <w:rFonts w:eastAsia="Times New Roman"/>
          <w:bCs/>
          <w:lang w:val="en-PH"/>
        </w:rPr>
      </w:pPr>
      <w:r w:rsidRPr="00F214D7">
        <w:rPr>
          <w:rFonts w:eastAsia="Times New Roman"/>
          <w:bCs/>
          <w:lang w:val="en-PH"/>
        </w:rPr>
        <w:t>The speech addressed the transformative potential of AI in financial services, focusing on regulatory tools like the Supercharged Sandbox and AI Live Testing to support firms. Rusu emphasized existing frameworks, such as the Senior Managers Regime and Consumer Duty, as sufficient for AI oversight, avoiding the need for new regulations. The remarks targeted financial services firms, fintechs, and innovators, with calls for collaboration through the UK FCA’s AI Lab and upcoming testing initiatives. The speech also signaled forthcoming guidance on fintech scale-up support and synthetic data use.</w:t>
      </w:r>
    </w:p>
    <w:p w14:paraId="52D6629B" w14:textId="77777777" w:rsidR="00296FE8" w:rsidRPr="00F214D7" w:rsidRDefault="00296FE8" w:rsidP="00296FE8">
      <w:pPr>
        <w:jc w:val="both"/>
        <w:rPr>
          <w:rFonts w:eastAsia="Times New Roman"/>
          <w:bCs/>
          <w:lang w:val="en-PH"/>
        </w:rPr>
      </w:pPr>
      <w:r w:rsidRPr="00F214D7">
        <w:rPr>
          <w:rFonts w:eastAsia="Times New Roman"/>
          <w:bCs/>
          <w:lang w:val="en-PH"/>
        </w:rPr>
        <w:t>Rusu discussed that innovation is embedded in the </w:t>
      </w:r>
      <w:hyperlink r:id="rId16" w:history="1">
        <w:r w:rsidRPr="00185130">
          <w:rPr>
            <w:rStyle w:val="Hyperlink"/>
            <w:rFonts w:eastAsia="Times New Roman"/>
            <w:bCs/>
            <w:color w:val="FF6E00"/>
            <w:u w:val="none"/>
            <w:lang w:val="en-PH"/>
          </w:rPr>
          <w:t>UK FCA’s 2025–30 Strategy</w:t>
        </w:r>
      </w:hyperlink>
      <w:r w:rsidRPr="00F214D7">
        <w:rPr>
          <w:rFonts w:eastAsia="Times New Roman"/>
          <w:bCs/>
          <w:lang w:val="en-PH"/>
        </w:rPr>
        <w:t>, supporting four pillars: attracting new customers, combating financial crime, enhancing regulatory efficiency, and driving economic growth. She noted the UK’s global leadership in financial services, including commercial insurance and fintech, and cited Nvidia CEO Jensen Huang’s description of the UK as a “Goldilocks” zone for AI due to its research, capital, and talent.</w:t>
      </w:r>
    </w:p>
    <w:p w14:paraId="0591BDD0" w14:textId="77777777" w:rsidR="00296FE8" w:rsidRPr="00F214D7" w:rsidRDefault="00296FE8" w:rsidP="00296FE8">
      <w:pPr>
        <w:jc w:val="both"/>
        <w:rPr>
          <w:rFonts w:eastAsia="Times New Roman"/>
          <w:bCs/>
          <w:lang w:val="en-PH"/>
        </w:rPr>
      </w:pPr>
      <w:r w:rsidRPr="00F214D7">
        <w:rPr>
          <w:rFonts w:eastAsia="Times New Roman"/>
          <w:bCs/>
          <w:u w:val="single"/>
          <w:lang w:val="en-PH"/>
        </w:rPr>
        <w:t>Supercharged Sandbox and AI Live Testing</w:t>
      </w:r>
    </w:p>
    <w:p w14:paraId="432B7E73" w14:textId="77777777" w:rsidR="00296FE8" w:rsidRPr="00F214D7" w:rsidRDefault="00296FE8" w:rsidP="00296FE8">
      <w:pPr>
        <w:jc w:val="both"/>
        <w:rPr>
          <w:rFonts w:eastAsia="Times New Roman"/>
          <w:bCs/>
          <w:lang w:val="en-PH"/>
        </w:rPr>
      </w:pPr>
      <w:r w:rsidRPr="00F214D7">
        <w:rPr>
          <w:rFonts w:eastAsia="Times New Roman"/>
          <w:bCs/>
          <w:lang w:val="en-PH"/>
        </w:rPr>
        <w:t>The UK FCA is advancing its regulatory innovation through the Supercharged Sandbox, set to begin testing in October 2025 in collaboration with Nvidia. This initiative offers enhanced computing capabilities, data sets, and tools for firms experimenting with AI, focusing on use cases like financial inclusion, wellbeing, and fraud prevention. Applications are open until 11 August 2025.</w:t>
      </w:r>
    </w:p>
    <w:p w14:paraId="769EC9DB" w14:textId="77777777" w:rsidR="00296FE8" w:rsidRPr="00F214D7" w:rsidRDefault="00296FE8" w:rsidP="00296FE8">
      <w:pPr>
        <w:jc w:val="both"/>
        <w:rPr>
          <w:rFonts w:eastAsia="Times New Roman"/>
          <w:bCs/>
          <w:lang w:val="en-PH"/>
        </w:rPr>
      </w:pPr>
      <w:r w:rsidRPr="00F214D7">
        <w:rPr>
          <w:rFonts w:eastAsia="Times New Roman"/>
          <w:bCs/>
          <w:lang w:val="en-PH"/>
        </w:rPr>
        <w:t>AI Live Testing, launching applications in July 2025, complements the Sandbox by supporting firms with proof-of-concept models seeking regulatory comfort for market deployment. Rusu highlighted strong industry support, with 70 responses to the UK FCA’s consultation paper, reflecting enthusiasm for collaboration, transparency, and access to synthetic data and shared tools.</w:t>
      </w:r>
    </w:p>
    <w:p w14:paraId="44B2CCB8" w14:textId="77777777" w:rsidR="00296FE8" w:rsidRPr="00F214D7" w:rsidRDefault="00296FE8" w:rsidP="00296FE8">
      <w:pPr>
        <w:jc w:val="both"/>
        <w:rPr>
          <w:rFonts w:eastAsia="Times New Roman"/>
          <w:bCs/>
          <w:lang w:val="en-PH"/>
        </w:rPr>
      </w:pPr>
      <w:r w:rsidRPr="00F214D7">
        <w:rPr>
          <w:rFonts w:eastAsia="Times New Roman"/>
          <w:bCs/>
          <w:u w:val="single"/>
          <w:lang w:val="en-PH"/>
        </w:rPr>
        <w:t>AI Lab and Industry Engagement</w:t>
      </w:r>
    </w:p>
    <w:p w14:paraId="1A6499EB" w14:textId="77777777" w:rsidR="00296FE8" w:rsidRPr="00F214D7" w:rsidRDefault="00296FE8" w:rsidP="00296FE8">
      <w:pPr>
        <w:jc w:val="both"/>
        <w:rPr>
          <w:rFonts w:eastAsia="Times New Roman"/>
          <w:bCs/>
          <w:lang w:val="en-PH"/>
        </w:rPr>
      </w:pPr>
      <w:r w:rsidRPr="00F214D7">
        <w:rPr>
          <w:rFonts w:eastAsia="Times New Roman"/>
          <w:bCs/>
          <w:lang w:val="en-PH"/>
        </w:rPr>
        <w:t>Launched in October 2024, the UK FCA’s </w:t>
      </w:r>
      <w:hyperlink r:id="rId17" w:tgtFrame="_blank" w:history="1">
        <w:r w:rsidRPr="00185130">
          <w:rPr>
            <w:rStyle w:val="Hyperlink"/>
            <w:rFonts w:eastAsia="Times New Roman"/>
            <w:bCs/>
            <w:color w:val="FF6E00"/>
            <w:u w:val="none"/>
            <w:lang w:val="en-PH"/>
          </w:rPr>
          <w:t>AI Lab</w:t>
        </w:r>
      </w:hyperlink>
      <w:r w:rsidRPr="00F214D7">
        <w:rPr>
          <w:rFonts w:eastAsia="Times New Roman"/>
          <w:bCs/>
          <w:lang w:val="en-PH"/>
        </w:rPr>
        <w:t> fosters responsible AI adoption through components like the AI Sprint, Input Zone, and Spotlight, which facilitate stakeholder input and showcase real-world applications. The Lab aims to build confidence in AI investments that drive growth and positive consumer outcomes. Rusu also referenced the upcoming second report from the UK FCA’s synthetic data expert group, offering industry-led insights.</w:t>
      </w:r>
    </w:p>
    <w:p w14:paraId="20719581" w14:textId="77777777" w:rsidR="00296FE8" w:rsidRPr="00F214D7" w:rsidRDefault="00296FE8" w:rsidP="00296FE8">
      <w:pPr>
        <w:jc w:val="both"/>
        <w:rPr>
          <w:rFonts w:eastAsia="Times New Roman"/>
          <w:bCs/>
          <w:lang w:val="en-PH"/>
        </w:rPr>
      </w:pPr>
      <w:r w:rsidRPr="00F214D7">
        <w:rPr>
          <w:rFonts w:eastAsia="Times New Roman"/>
          <w:bCs/>
          <w:u w:val="single"/>
          <w:lang w:val="en-PH"/>
        </w:rPr>
        <w:lastRenderedPageBreak/>
        <w:t>Regulatory Approach: No New Rules Needed</w:t>
      </w:r>
    </w:p>
    <w:p w14:paraId="40813421" w14:textId="77777777" w:rsidR="00296FE8" w:rsidRPr="00F214D7" w:rsidRDefault="00296FE8" w:rsidP="00296FE8">
      <w:pPr>
        <w:jc w:val="both"/>
        <w:rPr>
          <w:rFonts w:eastAsia="Times New Roman"/>
          <w:bCs/>
          <w:lang w:val="en-PH"/>
        </w:rPr>
      </w:pPr>
      <w:r w:rsidRPr="00F214D7">
        <w:rPr>
          <w:rFonts w:eastAsia="Times New Roman"/>
          <w:bCs/>
          <w:lang w:val="en-PH"/>
        </w:rPr>
        <w:t>Rusu addressed concerns about regulatory uncertainty, stating that existing UK FCA frameworks, including the Senior Managers Regime and Consumer Duty, provide adequate oversight for AI in financial services. This approach, she argued, maintains regulatory agility amid rapid technological change, giving the UK a competitive edge.</w:t>
      </w:r>
    </w:p>
    <w:p w14:paraId="37B9ADA8" w14:textId="77777777" w:rsidR="00296FE8" w:rsidRPr="00F214D7" w:rsidRDefault="00296FE8" w:rsidP="00296FE8">
      <w:pPr>
        <w:jc w:val="both"/>
        <w:rPr>
          <w:rFonts w:eastAsia="Times New Roman"/>
          <w:bCs/>
          <w:lang w:val="en-PH"/>
        </w:rPr>
      </w:pPr>
      <w:r w:rsidRPr="00F214D7">
        <w:rPr>
          <w:rFonts w:eastAsia="Times New Roman"/>
          <w:bCs/>
          <w:lang w:val="en-PH"/>
        </w:rPr>
        <w:t>Rusu cautioned that while AI offers opportunities, it also risks abuse. She urged firms to consult the UK FCA if concerned about their AI development, emphasizing the regulator’s history of supporting innovation.</w:t>
      </w:r>
    </w:p>
    <w:p w14:paraId="6947CD70" w14:textId="77777777" w:rsidR="00296FE8" w:rsidRPr="00F214D7" w:rsidRDefault="00296FE8" w:rsidP="00296FE8">
      <w:pPr>
        <w:jc w:val="both"/>
        <w:rPr>
          <w:rFonts w:eastAsia="Times New Roman"/>
          <w:bCs/>
          <w:lang w:val="en-PH"/>
        </w:rPr>
      </w:pPr>
      <w:r w:rsidRPr="00F214D7">
        <w:rPr>
          <w:rFonts w:eastAsia="Times New Roman"/>
          <w:bCs/>
          <w:u w:val="single"/>
          <w:lang w:val="en-PH"/>
        </w:rPr>
        <w:t>UK FCA’s Internal AI Adoption</w:t>
      </w:r>
    </w:p>
    <w:p w14:paraId="02A11F80" w14:textId="77777777" w:rsidR="00296FE8" w:rsidRPr="00F214D7" w:rsidRDefault="00296FE8" w:rsidP="00296FE8">
      <w:pPr>
        <w:jc w:val="both"/>
        <w:rPr>
          <w:rFonts w:eastAsia="Times New Roman"/>
          <w:bCs/>
          <w:lang w:val="en-PH"/>
        </w:rPr>
      </w:pPr>
      <w:r w:rsidRPr="00F214D7">
        <w:rPr>
          <w:rFonts w:eastAsia="Times New Roman"/>
          <w:bCs/>
          <w:lang w:val="en-PH"/>
        </w:rPr>
        <w:t>The UK FCA is leveraging AI internally to enhance efficiency, using large language models for text analysis in authorizations and supervision, and predictive AI in its supervision hub. AI voice bots now guide consumers to agencies like the Financial Ombudsman Service (</w:t>
      </w:r>
      <w:r w:rsidRPr="00F214D7">
        <w:rPr>
          <w:rFonts w:eastAsia="Times New Roman"/>
          <w:b/>
          <w:bCs/>
          <w:lang w:val="en-PH"/>
        </w:rPr>
        <w:t>FOS</w:t>
      </w:r>
      <w:r w:rsidRPr="00F214D7">
        <w:rPr>
          <w:rFonts w:eastAsia="Times New Roman"/>
          <w:bCs/>
          <w:lang w:val="en-PH"/>
        </w:rPr>
        <w:t>) and Financial Services Compensation Scheme (</w:t>
      </w:r>
      <w:r w:rsidRPr="00F214D7">
        <w:rPr>
          <w:rFonts w:eastAsia="Times New Roman"/>
          <w:b/>
          <w:bCs/>
          <w:lang w:val="en-PH"/>
        </w:rPr>
        <w:t>FSCS</w:t>
      </w:r>
      <w:r w:rsidRPr="00F214D7">
        <w:rPr>
          <w:rFonts w:eastAsia="Times New Roman"/>
          <w:bCs/>
          <w:lang w:val="en-PH"/>
        </w:rPr>
        <w:t>).</w:t>
      </w:r>
    </w:p>
    <w:p w14:paraId="7A4234DB" w14:textId="77777777" w:rsidR="00296FE8" w:rsidRPr="00F214D7" w:rsidRDefault="00296FE8" w:rsidP="00296FE8">
      <w:pPr>
        <w:jc w:val="both"/>
        <w:rPr>
          <w:rFonts w:eastAsia="Times New Roman"/>
          <w:bCs/>
          <w:lang w:val="en-PH"/>
        </w:rPr>
      </w:pPr>
      <w:r w:rsidRPr="00F214D7">
        <w:rPr>
          <w:rFonts w:eastAsia="Times New Roman"/>
          <w:bCs/>
          <w:lang w:val="en-PH"/>
        </w:rPr>
        <w:t>The UK FCA expects to announce further support for fintech scale-ups later in 2025. The synthetic data expert group’s second report will provide guidance on navigating synthetic data use. AI Live Testing applications open in July 2025, with collaboration starting in September 2025.</w:t>
      </w:r>
    </w:p>
    <w:p w14:paraId="58F2C114" w14:textId="77777777" w:rsidR="00296FE8" w:rsidRPr="00F214D7" w:rsidRDefault="00296FE8" w:rsidP="00296FE8">
      <w:pPr>
        <w:jc w:val="both"/>
        <w:rPr>
          <w:rFonts w:eastAsia="Times New Roman"/>
          <w:bCs/>
          <w:lang w:val="en-PH"/>
        </w:rPr>
      </w:pPr>
      <w:r w:rsidRPr="00F214D7">
        <w:rPr>
          <w:rFonts w:eastAsia="Times New Roman"/>
          <w:bCs/>
          <w:lang w:val="en-PH"/>
        </w:rPr>
        <w:t>(Source: </w:t>
      </w:r>
      <w:hyperlink r:id="rId18" w:tgtFrame="_blank" w:history="1">
        <w:r w:rsidRPr="00185130">
          <w:rPr>
            <w:rStyle w:val="Hyperlink"/>
            <w:rFonts w:eastAsia="Times New Roman"/>
            <w:bCs/>
            <w:color w:val="FF6E00"/>
            <w:lang w:val="en-PH"/>
          </w:rPr>
          <w:t>https://www.fca.org.uk/news/speeches/harnessing-ai-and-technology</w:t>
        </w:r>
      </w:hyperlink>
      <w:r w:rsidRPr="00F214D7">
        <w:rPr>
          <w:rFonts w:eastAsia="Times New Roman"/>
          <w:bCs/>
          <w:lang w:val="en-PH"/>
        </w:rPr>
        <w:t>)</w:t>
      </w:r>
    </w:p>
    <w:p w14:paraId="74B1C4E2" w14:textId="77777777" w:rsidR="00296FE8" w:rsidRDefault="00296FE8" w:rsidP="006B4E27">
      <w:pPr>
        <w:jc w:val="both"/>
        <w:rPr>
          <w:b/>
          <w:bCs/>
          <w:color w:val="FF6E00"/>
          <w:lang w:val="en-PH"/>
        </w:rPr>
      </w:pPr>
    </w:p>
    <w:p w14:paraId="1879FD63" w14:textId="77777777" w:rsidR="00296FE8" w:rsidRPr="0085184E" w:rsidRDefault="00296FE8" w:rsidP="00296FE8">
      <w:pPr>
        <w:jc w:val="both"/>
        <w:rPr>
          <w:b/>
          <w:bCs/>
          <w:color w:val="FF6E00"/>
          <w:lang w:val="en-PH"/>
        </w:rPr>
      </w:pPr>
      <w:r w:rsidRPr="0085184E">
        <w:rPr>
          <w:b/>
          <w:bCs/>
          <w:color w:val="FF6E00"/>
          <w:lang w:val="en-PH"/>
        </w:rPr>
        <w:t>Singapore MAS Imposes S$960,000 in Composition Penalties on Five Payment Institutions for AML/CFT Breaches in Q2 2025</w:t>
      </w:r>
    </w:p>
    <w:p w14:paraId="1AFA73A4" w14:textId="77777777" w:rsidR="00296FE8" w:rsidRPr="0085184E" w:rsidRDefault="00296FE8" w:rsidP="00296FE8">
      <w:pPr>
        <w:jc w:val="both"/>
        <w:rPr>
          <w:rFonts w:eastAsia="Times New Roman"/>
          <w:bCs/>
          <w:lang w:val="en-PH"/>
        </w:rPr>
      </w:pPr>
      <w:r w:rsidRPr="0085184E">
        <w:rPr>
          <w:rFonts w:eastAsia="Times New Roman"/>
          <w:bCs/>
          <w:lang w:val="en-PH"/>
        </w:rPr>
        <w:t>On 1 July 2025, the Monetary Authority of Singapore (</w:t>
      </w:r>
      <w:r w:rsidRPr="0085184E">
        <w:rPr>
          <w:rFonts w:eastAsia="Times New Roman"/>
          <w:b/>
          <w:bCs/>
          <w:lang w:val="en-PH"/>
        </w:rPr>
        <w:t>MAS</w:t>
      </w:r>
      <w:r w:rsidRPr="0085184E">
        <w:rPr>
          <w:rFonts w:eastAsia="Times New Roman"/>
          <w:bCs/>
          <w:lang w:val="en-PH"/>
        </w:rPr>
        <w:t>) released its quarterly update on regulatory and enforcement actions. MAS imposed composition penalties totalling S$960,000 on five regulated entities i.e. Remsea Pte Ltd, Arcade Plaza Traders Pte Ltd, J-Dee Remittance Services Pte Ltd, Mobile Community Tech Pte Ltd, and OxPay SG Pte Ltd, for violations of Singapore’s AML/CFT requirements applicable to Major Payment Institutions under the Singapore’s </w:t>
      </w:r>
      <w:hyperlink r:id="rId19" w:tgtFrame="_blank" w:history="1">
        <w:r w:rsidRPr="00185130">
          <w:rPr>
            <w:rStyle w:val="Hyperlink"/>
            <w:rFonts w:eastAsia="Times New Roman"/>
            <w:bCs/>
            <w:color w:val="FF6E00"/>
            <w:u w:val="none"/>
            <w:lang w:val="en-PH"/>
          </w:rPr>
          <w:t>Payment Services Act 2019</w:t>
        </w:r>
        <w:r w:rsidRPr="00185130">
          <w:rPr>
            <w:rStyle w:val="Hyperlink"/>
            <w:rFonts w:eastAsia="Times New Roman"/>
            <w:bCs/>
            <w:u w:val="none"/>
            <w:lang w:val="en-PH"/>
          </w:rPr>
          <w:t> </w:t>
        </w:r>
      </w:hyperlink>
      <w:r w:rsidRPr="0085184E">
        <w:rPr>
          <w:rFonts w:eastAsia="Times New Roman"/>
          <w:bCs/>
          <w:lang w:val="en-PH"/>
        </w:rPr>
        <w:t>and relevant AML notices.</w:t>
      </w:r>
    </w:p>
    <w:p w14:paraId="153328A8" w14:textId="77777777" w:rsidR="00296FE8" w:rsidRPr="0085184E" w:rsidRDefault="00296FE8" w:rsidP="00296FE8">
      <w:pPr>
        <w:jc w:val="both"/>
        <w:rPr>
          <w:rFonts w:eastAsia="Times New Roman"/>
          <w:bCs/>
          <w:lang w:val="en-PH"/>
        </w:rPr>
      </w:pPr>
      <w:r w:rsidRPr="0085184E">
        <w:rPr>
          <w:rFonts w:eastAsia="Times New Roman"/>
          <w:bCs/>
          <w:lang w:val="en-PH"/>
        </w:rPr>
        <w:t>MAS has the authority to take a range of enforcement actions in response to regulatory breaches, including reprimands, civil penalties, composition payments, prohibition orders, and, where warranted, referrals for criminal prosecution. In line with its statutory mandate, MAS assesses each enforcement case with reference to the severity of the breach, potential systemic impact, and deterrent effect required to prevent recurrence.</w:t>
      </w:r>
    </w:p>
    <w:p w14:paraId="66AB72D8" w14:textId="77777777" w:rsidR="00296FE8" w:rsidRPr="0085184E" w:rsidRDefault="00296FE8" w:rsidP="00296FE8">
      <w:pPr>
        <w:jc w:val="both"/>
        <w:rPr>
          <w:rFonts w:eastAsia="Times New Roman"/>
          <w:bCs/>
          <w:lang w:val="en-PH"/>
        </w:rPr>
      </w:pPr>
      <w:r w:rsidRPr="0085184E">
        <w:rPr>
          <w:rFonts w:eastAsia="Times New Roman"/>
          <w:bCs/>
          <w:lang w:val="en-PH"/>
        </w:rPr>
        <w:t>The five penalised firms were found to have breached requirements relating to anti-money laundering controls and obligations to counter the financing of terrorism (</w:t>
      </w:r>
      <w:r w:rsidRPr="0085184E">
        <w:rPr>
          <w:rFonts w:eastAsia="Times New Roman"/>
          <w:b/>
          <w:bCs/>
          <w:lang w:val="en-PH"/>
        </w:rPr>
        <w:t>CFT</w:t>
      </w:r>
      <w:r w:rsidRPr="0085184E">
        <w:rPr>
          <w:rFonts w:eastAsia="Times New Roman"/>
          <w:bCs/>
          <w:lang w:val="en-PH"/>
        </w:rPr>
        <w:t>). While the specific details of each firm’s misconduct were not publicly disclosed.</w:t>
      </w:r>
    </w:p>
    <w:p w14:paraId="5A61C30D" w14:textId="77777777" w:rsidR="00296FE8" w:rsidRPr="0085184E" w:rsidRDefault="00296FE8" w:rsidP="00296FE8">
      <w:pPr>
        <w:jc w:val="both"/>
        <w:rPr>
          <w:rFonts w:eastAsia="Times New Roman"/>
          <w:bCs/>
          <w:lang w:val="en-PH"/>
        </w:rPr>
      </w:pPr>
      <w:r w:rsidRPr="0085184E">
        <w:rPr>
          <w:rFonts w:eastAsia="Times New Roman"/>
          <w:bCs/>
          <w:lang w:val="en-PH"/>
        </w:rPr>
        <w:t>Entities seeking detailed insights into MAS enforcement actions may visit the Enforcement Actions page on the official MAS website.</w:t>
      </w:r>
    </w:p>
    <w:p w14:paraId="495E8191" w14:textId="1A14C154" w:rsidR="00296FE8" w:rsidRDefault="00296FE8" w:rsidP="006B4E27">
      <w:pPr>
        <w:jc w:val="both"/>
        <w:rPr>
          <w:rFonts w:eastAsia="Times New Roman"/>
          <w:bCs/>
          <w:lang w:val="en-PH"/>
        </w:rPr>
      </w:pPr>
      <w:r w:rsidRPr="0085184E">
        <w:rPr>
          <w:rFonts w:eastAsia="Times New Roman"/>
          <w:bCs/>
          <w:lang w:val="en-PH"/>
        </w:rPr>
        <w:t>(Source: </w:t>
      </w:r>
      <w:hyperlink r:id="rId20" w:tgtFrame="_blank" w:history="1">
        <w:r w:rsidRPr="00185130">
          <w:rPr>
            <w:rStyle w:val="Hyperlink"/>
            <w:rFonts w:eastAsia="Times New Roman"/>
            <w:bCs/>
            <w:color w:val="FF6E00"/>
            <w:lang w:val="en-PH"/>
          </w:rPr>
          <w:t>https://www.mas.gov.sg/regulation/enforcement/enforcement-actions</w:t>
        </w:r>
      </w:hyperlink>
      <w:r w:rsidRPr="0085184E">
        <w:rPr>
          <w:rFonts w:eastAsia="Times New Roman"/>
          <w:bCs/>
          <w:lang w:val="en-PH"/>
        </w:rPr>
        <w:t>)</w:t>
      </w:r>
    </w:p>
    <w:p w14:paraId="0D143C7D" w14:textId="77777777" w:rsidR="00296FE8" w:rsidRDefault="00296FE8" w:rsidP="006B4E27">
      <w:pPr>
        <w:jc w:val="both"/>
        <w:rPr>
          <w:rFonts w:eastAsia="Times New Roman"/>
          <w:bCs/>
          <w:lang w:val="en-PH"/>
        </w:rPr>
      </w:pPr>
    </w:p>
    <w:p w14:paraId="6467EA4B" w14:textId="77777777" w:rsidR="00296FE8" w:rsidRPr="0082217E" w:rsidRDefault="00296FE8" w:rsidP="00296FE8">
      <w:pPr>
        <w:jc w:val="both"/>
        <w:rPr>
          <w:b/>
          <w:bCs/>
          <w:color w:val="FF6E00"/>
          <w:lang w:val="en-PH"/>
        </w:rPr>
      </w:pPr>
      <w:r w:rsidRPr="0082217E">
        <w:rPr>
          <w:b/>
          <w:bCs/>
          <w:color w:val="FF6E00"/>
          <w:lang w:val="en-PH"/>
        </w:rPr>
        <w:t>US CFTC Issues Comprehensive FAQ Guidance on Futures Commission Merchant Registration and Compliance Obligations</w:t>
      </w:r>
    </w:p>
    <w:p w14:paraId="01942D78" w14:textId="5E6530DE" w:rsidR="00296FE8" w:rsidRPr="0082217E" w:rsidRDefault="00296FE8" w:rsidP="00296FE8">
      <w:pPr>
        <w:jc w:val="both"/>
        <w:rPr>
          <w:rFonts w:eastAsia="Times New Roman"/>
          <w:bCs/>
          <w:lang w:val="en-PH"/>
        </w:rPr>
      </w:pPr>
      <w:r w:rsidRPr="0082217E">
        <w:rPr>
          <w:rFonts w:eastAsia="Times New Roman"/>
          <w:bCs/>
          <w:lang w:val="en-PH"/>
        </w:rPr>
        <w:t>On 30 June 2025, the United States Commodity Futures Trading Commission (</w:t>
      </w:r>
      <w:r w:rsidRPr="0082217E">
        <w:rPr>
          <w:rFonts w:eastAsia="Times New Roman"/>
          <w:b/>
          <w:bCs/>
          <w:lang w:val="en-PH"/>
        </w:rPr>
        <w:t>US CFTC</w:t>
      </w:r>
      <w:r w:rsidRPr="0082217E">
        <w:rPr>
          <w:rFonts w:eastAsia="Times New Roman"/>
          <w:bCs/>
          <w:lang w:val="en-PH"/>
        </w:rPr>
        <w:t>) released a set of </w:t>
      </w:r>
      <w:hyperlink r:id="rId21" w:history="1">
        <w:r w:rsidRPr="006767DA">
          <w:rPr>
            <w:rStyle w:val="Hyperlink"/>
            <w:rFonts w:eastAsia="Times New Roman"/>
            <w:bCs/>
            <w:color w:val="FF6E00"/>
            <w:u w:val="none"/>
            <w:lang w:val="en-PH"/>
          </w:rPr>
          <w:t>Frequently Asked Questions</w:t>
        </w:r>
      </w:hyperlink>
      <w:r w:rsidRPr="006767DA">
        <w:rPr>
          <w:rFonts w:eastAsia="Times New Roman"/>
          <w:bCs/>
          <w:color w:val="FF6E00"/>
          <w:lang w:val="en-PH"/>
        </w:rPr>
        <w:t> </w:t>
      </w:r>
      <w:r w:rsidRPr="0082217E">
        <w:rPr>
          <w:rFonts w:eastAsia="Times New Roman"/>
          <w:bCs/>
          <w:lang w:val="en-PH"/>
        </w:rPr>
        <w:t>(</w:t>
      </w:r>
      <w:r w:rsidRPr="00DA5E20">
        <w:rPr>
          <w:rFonts w:eastAsia="Times New Roman"/>
          <w:b/>
          <w:bCs/>
          <w:lang w:val="en-PH"/>
        </w:rPr>
        <w:t>FAQs</w:t>
      </w:r>
      <w:r w:rsidRPr="0082217E">
        <w:rPr>
          <w:rFonts w:eastAsia="Times New Roman"/>
          <w:bCs/>
          <w:lang w:val="en-PH"/>
        </w:rPr>
        <w:t>) clarifying the registration requirements and ongoing compliance obligations applicable to Futures Commission Merchants (</w:t>
      </w:r>
      <w:r w:rsidRPr="0082217E">
        <w:rPr>
          <w:rFonts w:eastAsia="Times New Roman"/>
          <w:b/>
          <w:bCs/>
          <w:lang w:val="en-PH"/>
        </w:rPr>
        <w:t>FCMs</w:t>
      </w:r>
      <w:r w:rsidRPr="0082217E">
        <w:rPr>
          <w:rFonts w:eastAsia="Times New Roman"/>
          <w:bCs/>
          <w:lang w:val="en-PH"/>
        </w:rPr>
        <w:t xml:space="preserve">). Issued by the US CFTC’s Market Participants Division, the guidance addresses increased interest in FCM registration, particularly among entities seeking to enter the derivatives market by acquiring existing </w:t>
      </w:r>
      <w:proofErr w:type="gramStart"/>
      <w:r w:rsidRPr="0082217E">
        <w:rPr>
          <w:rFonts w:eastAsia="Times New Roman"/>
          <w:bCs/>
          <w:lang w:val="en-PH"/>
        </w:rPr>
        <w:t>FCMs, and</w:t>
      </w:r>
      <w:proofErr w:type="gramEnd"/>
      <w:r w:rsidRPr="0082217E">
        <w:rPr>
          <w:rFonts w:eastAsia="Times New Roman"/>
          <w:bCs/>
          <w:lang w:val="en-PH"/>
        </w:rPr>
        <w:t xml:space="preserve"> outlines foundational responsibilities under the Commodity Exchange Act and relevant US CFTC regulations.</w:t>
      </w:r>
    </w:p>
    <w:p w14:paraId="2CA10F7D" w14:textId="77777777" w:rsidR="00296FE8" w:rsidRPr="0082217E" w:rsidRDefault="00296FE8" w:rsidP="00296FE8">
      <w:pPr>
        <w:jc w:val="both"/>
        <w:rPr>
          <w:rFonts w:eastAsia="Times New Roman"/>
          <w:bCs/>
          <w:lang w:val="en-PH"/>
        </w:rPr>
      </w:pPr>
      <w:r w:rsidRPr="0082217E">
        <w:rPr>
          <w:rFonts w:eastAsia="Times New Roman"/>
          <w:bCs/>
          <w:lang w:val="en-PH"/>
        </w:rPr>
        <w:t>The FAQs provide authoritative clarity on the procedural and operational requirements for FCM registration and ongoing regulatory compliance under the United States </w:t>
      </w:r>
      <w:hyperlink r:id="rId22" w:tgtFrame="_blank" w:history="1">
        <w:r w:rsidRPr="00384B64">
          <w:rPr>
            <w:rStyle w:val="Hyperlink"/>
            <w:rFonts w:eastAsia="Times New Roman"/>
            <w:bCs/>
            <w:color w:val="FF6E00"/>
            <w:u w:val="none"/>
            <w:lang w:val="en-PH"/>
          </w:rPr>
          <w:t>Commodity Exchange Act</w:t>
        </w:r>
      </w:hyperlink>
      <w:r w:rsidRPr="0082217E">
        <w:rPr>
          <w:rFonts w:eastAsia="Times New Roman"/>
          <w:bCs/>
          <w:lang w:val="en-PH"/>
        </w:rPr>
        <w:t> and associated US CFTC regulations (</w:t>
      </w:r>
      <w:hyperlink r:id="rId23" w:tgtFrame="_blank" w:history="1">
        <w:r w:rsidRPr="00384B64">
          <w:rPr>
            <w:rStyle w:val="Hyperlink"/>
            <w:rFonts w:eastAsia="Times New Roman"/>
            <w:bCs/>
            <w:color w:val="FF6E00"/>
            <w:u w:val="none"/>
            <w:lang w:val="en-PH"/>
          </w:rPr>
          <w:t>17 CFR Chapter I</w:t>
        </w:r>
      </w:hyperlink>
      <w:r w:rsidRPr="0082217E">
        <w:rPr>
          <w:rFonts w:eastAsia="Times New Roman"/>
          <w:bCs/>
          <w:lang w:val="en-PH"/>
        </w:rPr>
        <w:t>). The guidance applies to entities intending to register as FCMs or acquire existing FCMs and covers key areas such as recordkeeping, financial reporting, capital adequacy, AML/CFT obligations, and customer protection. The document also details National Futures Association (</w:t>
      </w:r>
      <w:r w:rsidRPr="0082217E">
        <w:rPr>
          <w:rFonts w:eastAsia="Times New Roman"/>
          <w:b/>
          <w:bCs/>
          <w:lang w:val="en-PH"/>
        </w:rPr>
        <w:t>NFA</w:t>
      </w:r>
      <w:r w:rsidRPr="0082217E">
        <w:rPr>
          <w:rFonts w:eastAsia="Times New Roman"/>
          <w:bCs/>
          <w:lang w:val="en-PH"/>
        </w:rPr>
        <w:t>) coordination requirements and delineates responsibilities of associated persons, compliance officers, and FCM governing bodies. This staff-issued FAQ is not binding but reflects the CFTC’s current supervisory expectations and statutory interpretation.</w:t>
      </w:r>
    </w:p>
    <w:p w14:paraId="39DBFF69" w14:textId="77777777" w:rsidR="00296FE8" w:rsidRPr="0082217E" w:rsidRDefault="00296FE8" w:rsidP="00296FE8">
      <w:pPr>
        <w:jc w:val="both"/>
        <w:rPr>
          <w:rFonts w:eastAsia="Times New Roman"/>
          <w:bCs/>
          <w:lang w:val="en-PH"/>
        </w:rPr>
      </w:pPr>
      <w:r w:rsidRPr="0082217E">
        <w:rPr>
          <w:rFonts w:eastAsia="Times New Roman"/>
          <w:bCs/>
          <w:u w:val="single"/>
          <w:lang w:val="en-PH"/>
        </w:rPr>
        <w:t>1. Activities Requiring FCM Registration</w:t>
      </w:r>
    </w:p>
    <w:p w14:paraId="47E22BAF" w14:textId="77777777" w:rsidR="00296FE8" w:rsidRPr="0082217E" w:rsidRDefault="00296FE8" w:rsidP="00296FE8">
      <w:pPr>
        <w:jc w:val="both"/>
        <w:rPr>
          <w:rFonts w:eastAsia="Times New Roman"/>
          <w:bCs/>
          <w:lang w:val="en-PH"/>
        </w:rPr>
      </w:pPr>
      <w:r w:rsidRPr="0082217E">
        <w:rPr>
          <w:rFonts w:eastAsia="Times New Roman"/>
          <w:bCs/>
          <w:lang w:val="en-PH"/>
        </w:rPr>
        <w:t>Entities that solicit or accept orders to buy or sell futures, options on futures, retail forex, or swaps, and receive customer funds or assets for these trades, must register with the US CFTC as FCMs. FCMs must also become NFA members, subject to </w:t>
      </w:r>
      <w:hyperlink r:id="rId24" w:tgtFrame="_blank" w:history="1">
        <w:r w:rsidRPr="00185130">
          <w:rPr>
            <w:rStyle w:val="Hyperlink"/>
            <w:rFonts w:eastAsia="Times New Roman"/>
            <w:bCs/>
            <w:color w:val="FF6E00"/>
            <w:u w:val="none"/>
            <w:lang w:val="en-PH"/>
          </w:rPr>
          <w:t>NFA rules</w:t>
        </w:r>
      </w:hyperlink>
      <w:r w:rsidRPr="0082217E">
        <w:rPr>
          <w:rFonts w:eastAsia="Times New Roman"/>
          <w:bCs/>
          <w:lang w:val="en-PH"/>
        </w:rPr>
        <w:t>.</w:t>
      </w:r>
    </w:p>
    <w:p w14:paraId="4AB2B423" w14:textId="77777777" w:rsidR="00296FE8" w:rsidRPr="0082217E" w:rsidRDefault="00296FE8" w:rsidP="00296FE8">
      <w:pPr>
        <w:jc w:val="both"/>
        <w:rPr>
          <w:rFonts w:eastAsia="Times New Roman"/>
          <w:bCs/>
          <w:lang w:val="en-PH"/>
        </w:rPr>
      </w:pPr>
      <w:r w:rsidRPr="0082217E">
        <w:rPr>
          <w:rFonts w:eastAsia="Times New Roman"/>
          <w:bCs/>
          <w:u w:val="single"/>
          <w:lang w:val="en-PH"/>
        </w:rPr>
        <w:t>2. Registration Process</w:t>
      </w:r>
    </w:p>
    <w:p w14:paraId="44B57B35" w14:textId="77777777" w:rsidR="00296FE8" w:rsidRPr="0082217E" w:rsidRDefault="00296FE8" w:rsidP="00296FE8">
      <w:pPr>
        <w:jc w:val="both"/>
        <w:rPr>
          <w:rFonts w:eastAsia="Times New Roman"/>
          <w:bCs/>
          <w:lang w:val="en-PH"/>
        </w:rPr>
      </w:pPr>
      <w:r w:rsidRPr="0082217E">
        <w:rPr>
          <w:rFonts w:eastAsia="Times New Roman"/>
          <w:bCs/>
          <w:lang w:val="en-PH"/>
        </w:rPr>
        <w:t>Prospective FCMs must submit US </w:t>
      </w:r>
      <w:hyperlink r:id="rId25" w:tgtFrame="_blank" w:history="1">
        <w:r w:rsidRPr="00185130">
          <w:rPr>
            <w:rStyle w:val="Hyperlink"/>
            <w:rFonts w:eastAsia="Times New Roman"/>
            <w:bCs/>
            <w:color w:val="FF6E00"/>
            <w:u w:val="none"/>
            <w:lang w:val="en-PH"/>
          </w:rPr>
          <w:t>CFTC Form 7-R</w:t>
        </w:r>
      </w:hyperlink>
      <w:r w:rsidRPr="0082217E">
        <w:rPr>
          <w:rFonts w:eastAsia="Times New Roman"/>
          <w:bCs/>
          <w:lang w:val="en-PH"/>
        </w:rPr>
        <w:t> to the NFA, disclosing entity information and non-natural person principals. Natural person principals and associated persons must file Form 8-R and fingerprint cards. NFA assesses statutory disqualifications under Sections 8a(2) and 8a(3) of the United States </w:t>
      </w:r>
      <w:hyperlink r:id="rId26" w:tgtFrame="_blank" w:history="1">
        <w:r w:rsidRPr="00185130">
          <w:rPr>
            <w:rStyle w:val="Hyperlink"/>
            <w:rFonts w:eastAsia="Times New Roman"/>
            <w:bCs/>
            <w:color w:val="FF6E00"/>
            <w:u w:val="none"/>
            <w:lang w:val="en-PH"/>
          </w:rPr>
          <w:t>Commodity Exchange Act</w:t>
        </w:r>
      </w:hyperlink>
      <w:r w:rsidRPr="0082217E">
        <w:rPr>
          <w:rFonts w:eastAsia="Times New Roman"/>
          <w:bCs/>
          <w:lang w:val="en-PH"/>
        </w:rPr>
        <w:t>, supported by FBI background checks.</w:t>
      </w:r>
    </w:p>
    <w:p w14:paraId="01446797" w14:textId="77777777" w:rsidR="00296FE8" w:rsidRPr="0082217E" w:rsidRDefault="00296FE8" w:rsidP="00296FE8">
      <w:pPr>
        <w:jc w:val="both"/>
        <w:rPr>
          <w:rFonts w:eastAsia="Times New Roman"/>
          <w:bCs/>
          <w:lang w:val="en-PH"/>
        </w:rPr>
      </w:pPr>
      <w:r w:rsidRPr="0082217E">
        <w:rPr>
          <w:rFonts w:eastAsia="Times New Roman"/>
          <w:bCs/>
          <w:u w:val="single"/>
          <w:lang w:val="en-PH"/>
        </w:rPr>
        <w:t>3. Proficiency Requirements</w:t>
      </w:r>
    </w:p>
    <w:p w14:paraId="3846BC56" w14:textId="77777777" w:rsidR="00296FE8" w:rsidRPr="0082217E" w:rsidRDefault="00296FE8" w:rsidP="00296FE8">
      <w:pPr>
        <w:jc w:val="both"/>
        <w:rPr>
          <w:rFonts w:eastAsia="Times New Roman"/>
          <w:bCs/>
          <w:lang w:val="en-PH"/>
        </w:rPr>
      </w:pPr>
      <w:r w:rsidRPr="0082217E">
        <w:rPr>
          <w:rFonts w:eastAsia="Times New Roman"/>
          <w:bCs/>
          <w:lang w:val="en-PH"/>
        </w:rPr>
        <w:t>Associated persons must pass the National Commodity Futures Examination (Series 3), and if engaging in swaps activity, meet the Swaps Proficiency Requirements per </w:t>
      </w:r>
      <w:hyperlink r:id="rId27" w:tgtFrame="_blank" w:history="1">
        <w:r w:rsidRPr="00185130">
          <w:rPr>
            <w:rStyle w:val="Hyperlink"/>
            <w:rFonts w:eastAsia="Times New Roman"/>
            <w:bCs/>
            <w:color w:val="FF6E00"/>
            <w:u w:val="none"/>
            <w:lang w:val="en-PH"/>
          </w:rPr>
          <w:t>NFA Rule 401</w:t>
        </w:r>
      </w:hyperlink>
      <w:r w:rsidRPr="0082217E">
        <w:rPr>
          <w:rFonts w:eastAsia="Times New Roman"/>
          <w:bCs/>
          <w:lang w:val="en-PH"/>
        </w:rPr>
        <w:t> and </w:t>
      </w:r>
      <w:hyperlink r:id="rId28" w:tgtFrame="_blank" w:history="1">
        <w:r w:rsidRPr="00185130">
          <w:rPr>
            <w:rStyle w:val="Hyperlink"/>
            <w:rFonts w:eastAsia="Times New Roman"/>
            <w:bCs/>
            <w:color w:val="FF6E00"/>
            <w:u w:val="none"/>
            <w:lang w:val="en-PH"/>
          </w:rPr>
          <w:t>NFA Bylaw 301(l)</w:t>
        </w:r>
      </w:hyperlink>
      <w:r w:rsidRPr="0082217E">
        <w:rPr>
          <w:rFonts w:eastAsia="Times New Roman"/>
          <w:bCs/>
          <w:lang w:val="en-PH"/>
        </w:rPr>
        <w:t>.</w:t>
      </w:r>
    </w:p>
    <w:p w14:paraId="0CB3F6BA" w14:textId="77777777" w:rsidR="00296FE8" w:rsidRPr="0082217E" w:rsidRDefault="00296FE8" w:rsidP="00296FE8">
      <w:pPr>
        <w:jc w:val="both"/>
        <w:rPr>
          <w:rFonts w:eastAsia="Times New Roman"/>
          <w:bCs/>
          <w:lang w:val="en-PH"/>
        </w:rPr>
      </w:pPr>
      <w:r w:rsidRPr="0082217E">
        <w:rPr>
          <w:rFonts w:eastAsia="Times New Roman"/>
          <w:bCs/>
          <w:u w:val="single"/>
          <w:lang w:val="en-PH"/>
        </w:rPr>
        <w:t>4. Recordkeeping Obligations</w:t>
      </w:r>
    </w:p>
    <w:p w14:paraId="6F0D0772" w14:textId="77777777" w:rsidR="00296FE8" w:rsidRPr="0082217E" w:rsidRDefault="00296FE8" w:rsidP="00296FE8">
      <w:pPr>
        <w:jc w:val="both"/>
        <w:rPr>
          <w:rFonts w:eastAsia="Times New Roman"/>
          <w:bCs/>
          <w:lang w:val="en-PH"/>
        </w:rPr>
      </w:pPr>
      <w:r w:rsidRPr="0082217E">
        <w:rPr>
          <w:rFonts w:eastAsia="Times New Roman"/>
          <w:bCs/>
          <w:lang w:val="en-PH"/>
        </w:rPr>
        <w:t>FCMs must retain transaction records, communications, original source documents, and daily financial ledgers. Records must be accessible for inspection by the US CFTC and US Department of Justice. </w:t>
      </w:r>
      <w:hyperlink r:id="rId29" w:tgtFrame="_blank" w:history="1">
        <w:r w:rsidRPr="00185130">
          <w:rPr>
            <w:rStyle w:val="Hyperlink"/>
            <w:rFonts w:eastAsia="Times New Roman"/>
            <w:bCs/>
            <w:color w:val="FF6E00"/>
            <w:u w:val="none"/>
            <w:lang w:val="en-PH"/>
          </w:rPr>
          <w:t>NFA Rule 2-10</w:t>
        </w:r>
      </w:hyperlink>
      <w:r w:rsidRPr="0082217E">
        <w:rPr>
          <w:rFonts w:eastAsia="Times New Roman"/>
          <w:bCs/>
          <w:lang w:val="en-PH"/>
        </w:rPr>
        <w:t> also requires a US-based supervisory office or one in an approved foreign jurisdiction.</w:t>
      </w:r>
    </w:p>
    <w:p w14:paraId="61E3A45C" w14:textId="77777777" w:rsidR="00296FE8" w:rsidRPr="0082217E" w:rsidRDefault="00296FE8" w:rsidP="00296FE8">
      <w:pPr>
        <w:jc w:val="both"/>
        <w:rPr>
          <w:rFonts w:eastAsia="Times New Roman"/>
          <w:bCs/>
          <w:lang w:val="en-PH"/>
        </w:rPr>
      </w:pPr>
      <w:r w:rsidRPr="0082217E">
        <w:rPr>
          <w:rFonts w:eastAsia="Times New Roman"/>
          <w:bCs/>
          <w:u w:val="single"/>
          <w:lang w:val="en-PH"/>
        </w:rPr>
        <w:t>5. Compliance Procedures</w:t>
      </w:r>
    </w:p>
    <w:p w14:paraId="752558AD" w14:textId="77777777" w:rsidR="00296FE8" w:rsidRPr="0082217E" w:rsidRDefault="00296FE8" w:rsidP="00296FE8">
      <w:pPr>
        <w:jc w:val="both"/>
        <w:rPr>
          <w:rFonts w:eastAsia="Times New Roman"/>
          <w:bCs/>
          <w:lang w:val="en-PH"/>
        </w:rPr>
      </w:pPr>
      <w:r w:rsidRPr="0082217E">
        <w:rPr>
          <w:rFonts w:eastAsia="Times New Roman"/>
          <w:bCs/>
          <w:lang w:val="en-PH"/>
        </w:rPr>
        <w:t>Applicants must implement written policies covering AML, business continuity, cybersecurity, supervision, and ethics. A designated Chief Compliance Officer (</w:t>
      </w:r>
      <w:r w:rsidRPr="00185130">
        <w:rPr>
          <w:rFonts w:eastAsia="Times New Roman"/>
          <w:b/>
          <w:lang w:val="en-PH"/>
        </w:rPr>
        <w:t>CCO</w:t>
      </w:r>
      <w:r w:rsidRPr="0082217E">
        <w:rPr>
          <w:rFonts w:eastAsia="Times New Roman"/>
          <w:bCs/>
          <w:lang w:val="en-PH"/>
        </w:rPr>
        <w:t>), qualified and free of disqualification, is mandatory under </w:t>
      </w:r>
      <w:hyperlink r:id="rId30" w:tgtFrame="_blank" w:history="1">
        <w:r w:rsidRPr="00185130">
          <w:rPr>
            <w:rStyle w:val="Hyperlink"/>
            <w:rFonts w:eastAsia="Times New Roman"/>
            <w:bCs/>
            <w:color w:val="FF6E00"/>
            <w:u w:val="none"/>
            <w:lang w:val="en-PH"/>
          </w:rPr>
          <w:t>17 CFR §3.3</w:t>
        </w:r>
      </w:hyperlink>
      <w:r w:rsidRPr="0082217E">
        <w:rPr>
          <w:rFonts w:eastAsia="Times New Roman"/>
          <w:bCs/>
          <w:lang w:val="en-PH"/>
        </w:rPr>
        <w:t>.</w:t>
      </w:r>
    </w:p>
    <w:p w14:paraId="34C7DD55" w14:textId="77777777" w:rsidR="00296FE8" w:rsidRPr="0082217E" w:rsidRDefault="00296FE8" w:rsidP="00296FE8">
      <w:pPr>
        <w:jc w:val="both"/>
        <w:rPr>
          <w:rFonts w:eastAsia="Times New Roman"/>
          <w:bCs/>
          <w:lang w:val="en-PH"/>
        </w:rPr>
      </w:pPr>
      <w:r w:rsidRPr="0082217E">
        <w:rPr>
          <w:rFonts w:eastAsia="Times New Roman"/>
          <w:bCs/>
          <w:u w:val="single"/>
          <w:lang w:val="en-PH"/>
        </w:rPr>
        <w:lastRenderedPageBreak/>
        <w:t>6. Capital Requirements</w:t>
      </w:r>
    </w:p>
    <w:p w14:paraId="7282E2B6" w14:textId="77777777" w:rsidR="00296FE8" w:rsidRPr="0082217E" w:rsidRDefault="00296FE8" w:rsidP="00296FE8">
      <w:pPr>
        <w:jc w:val="both"/>
        <w:rPr>
          <w:rFonts w:eastAsia="Times New Roman"/>
          <w:bCs/>
          <w:lang w:val="en-PH"/>
        </w:rPr>
      </w:pPr>
      <w:r w:rsidRPr="0082217E">
        <w:rPr>
          <w:rFonts w:eastAsia="Times New Roman"/>
          <w:bCs/>
          <w:lang w:val="en-PH"/>
        </w:rPr>
        <w:t xml:space="preserve">FCMs must maintain minimum adjusted net capital as the highest </w:t>
      </w:r>
      <w:proofErr w:type="gramStart"/>
      <w:r w:rsidRPr="0082217E">
        <w:rPr>
          <w:rFonts w:eastAsia="Times New Roman"/>
          <w:bCs/>
          <w:lang w:val="en-PH"/>
        </w:rPr>
        <w:t>of:</w:t>
      </w:r>
      <w:proofErr w:type="gramEnd"/>
      <w:r w:rsidRPr="0082217E">
        <w:rPr>
          <w:rFonts w:eastAsia="Times New Roman"/>
          <w:bCs/>
          <w:lang w:val="en-PH"/>
        </w:rPr>
        <w:t xml:space="preserve"> $1 million; 8% of aggregate risk margin; US SEC-imposed capital (if dual-registered); or $20 million (for retail forex or swap dealer activity). Firms using internal risk models must meet a $100 million net capital threshold.</w:t>
      </w:r>
    </w:p>
    <w:p w14:paraId="22406258" w14:textId="77777777" w:rsidR="00296FE8" w:rsidRPr="0082217E" w:rsidRDefault="00296FE8" w:rsidP="00296FE8">
      <w:pPr>
        <w:jc w:val="both"/>
        <w:rPr>
          <w:rFonts w:eastAsia="Times New Roman"/>
          <w:bCs/>
          <w:lang w:val="en-PH"/>
        </w:rPr>
      </w:pPr>
      <w:r w:rsidRPr="0082217E">
        <w:rPr>
          <w:rFonts w:eastAsia="Times New Roman"/>
          <w:bCs/>
          <w:u w:val="single"/>
          <w:lang w:val="en-PH"/>
        </w:rPr>
        <w:t>7. Financial Reporting</w:t>
      </w:r>
    </w:p>
    <w:p w14:paraId="1B09981F" w14:textId="77777777" w:rsidR="00296FE8" w:rsidRPr="0082217E" w:rsidRDefault="00296FE8" w:rsidP="00296FE8">
      <w:pPr>
        <w:jc w:val="both"/>
        <w:rPr>
          <w:rFonts w:eastAsia="Times New Roman"/>
          <w:bCs/>
          <w:lang w:val="en-PH"/>
        </w:rPr>
      </w:pPr>
      <w:r w:rsidRPr="0082217E">
        <w:rPr>
          <w:rFonts w:eastAsia="Times New Roman"/>
          <w:bCs/>
          <w:lang w:val="en-PH"/>
        </w:rPr>
        <w:t>FCMs must file </w:t>
      </w:r>
      <w:hyperlink r:id="rId31" w:tgtFrame="_blank" w:history="1">
        <w:r w:rsidRPr="00185130">
          <w:rPr>
            <w:rStyle w:val="Hyperlink"/>
            <w:rFonts w:eastAsia="Times New Roman"/>
            <w:bCs/>
            <w:color w:val="FF6E00"/>
            <w:u w:val="none"/>
            <w:lang w:val="en-PH"/>
          </w:rPr>
          <w:t>CFTC Form 1-FR-FCM</w:t>
        </w:r>
      </w:hyperlink>
      <w:r w:rsidRPr="0082217E">
        <w:rPr>
          <w:rFonts w:eastAsia="Times New Roman"/>
          <w:bCs/>
          <w:lang w:val="en-PH"/>
        </w:rPr>
        <w:t> (or US SEC FOCUS Report if dual-registered), submit daily segregation reports, and provide annual audited financials certified by an executive.</w:t>
      </w:r>
    </w:p>
    <w:p w14:paraId="5A1DA20B" w14:textId="77777777" w:rsidR="00296FE8" w:rsidRPr="0082217E" w:rsidRDefault="00296FE8" w:rsidP="00296FE8">
      <w:pPr>
        <w:jc w:val="both"/>
        <w:rPr>
          <w:rFonts w:eastAsia="Times New Roman"/>
          <w:bCs/>
          <w:lang w:val="en-PH"/>
        </w:rPr>
      </w:pPr>
      <w:r w:rsidRPr="0082217E">
        <w:rPr>
          <w:rFonts w:eastAsia="Times New Roman"/>
          <w:bCs/>
          <w:u w:val="single"/>
          <w:lang w:val="en-PH"/>
        </w:rPr>
        <w:t>8. Risk Management Program</w:t>
      </w:r>
    </w:p>
    <w:p w14:paraId="3DDE7675" w14:textId="77777777" w:rsidR="00296FE8" w:rsidRPr="0082217E" w:rsidRDefault="00296FE8" w:rsidP="00296FE8">
      <w:pPr>
        <w:jc w:val="both"/>
        <w:rPr>
          <w:rFonts w:eastAsia="Times New Roman"/>
          <w:bCs/>
          <w:lang w:val="en-PH"/>
        </w:rPr>
      </w:pPr>
      <w:r w:rsidRPr="0082217E">
        <w:rPr>
          <w:rFonts w:eastAsia="Times New Roman"/>
          <w:bCs/>
          <w:lang w:val="en-PH"/>
        </w:rPr>
        <w:t>Registered FCMs must maintain written risk policies, a designated risk management unit, and quarterly risk exposure reports. Programs must account for market, credit, liquidity, operational, and segregation risks.</w:t>
      </w:r>
    </w:p>
    <w:p w14:paraId="1A734704" w14:textId="77777777" w:rsidR="00296FE8" w:rsidRPr="0082217E" w:rsidRDefault="00296FE8" w:rsidP="00296FE8">
      <w:pPr>
        <w:jc w:val="both"/>
        <w:rPr>
          <w:rFonts w:eastAsia="Times New Roman"/>
          <w:bCs/>
          <w:lang w:val="en-PH"/>
        </w:rPr>
      </w:pPr>
      <w:r w:rsidRPr="0082217E">
        <w:rPr>
          <w:rFonts w:eastAsia="Times New Roman"/>
          <w:bCs/>
          <w:u w:val="single"/>
          <w:lang w:val="en-PH"/>
        </w:rPr>
        <w:t>9. Responsibilities of Governing Body</w:t>
      </w:r>
    </w:p>
    <w:p w14:paraId="53781621" w14:textId="77777777" w:rsidR="00296FE8" w:rsidRPr="0082217E" w:rsidRDefault="00296FE8" w:rsidP="00296FE8">
      <w:pPr>
        <w:jc w:val="both"/>
        <w:rPr>
          <w:rFonts w:eastAsia="Times New Roman"/>
          <w:bCs/>
          <w:lang w:val="en-PH"/>
        </w:rPr>
      </w:pPr>
      <w:r w:rsidRPr="0082217E">
        <w:rPr>
          <w:rFonts w:eastAsia="Times New Roman"/>
          <w:bCs/>
          <w:lang w:val="en-PH"/>
        </w:rPr>
        <w:t>The FCM’s board or managing body must approve risk programs, set the firm’s residual interest amount, and authorise major withdrawals. Officials may face liability for statutory breaches or criminal violations.</w:t>
      </w:r>
    </w:p>
    <w:p w14:paraId="40F5DA3D" w14:textId="77777777" w:rsidR="00296FE8" w:rsidRPr="0082217E" w:rsidRDefault="00296FE8" w:rsidP="00296FE8">
      <w:pPr>
        <w:jc w:val="both"/>
        <w:rPr>
          <w:rFonts w:eastAsia="Times New Roman"/>
          <w:bCs/>
          <w:lang w:val="en-PH"/>
        </w:rPr>
      </w:pPr>
      <w:r w:rsidRPr="0082217E">
        <w:rPr>
          <w:rFonts w:eastAsia="Times New Roman"/>
          <w:bCs/>
          <w:u w:val="single"/>
          <w:lang w:val="en-PH"/>
        </w:rPr>
        <w:t>10. Duties of Chief Compliance Officer</w:t>
      </w:r>
    </w:p>
    <w:p w14:paraId="32C21F5E" w14:textId="77777777" w:rsidR="00296FE8" w:rsidRPr="0082217E" w:rsidRDefault="00296FE8" w:rsidP="00296FE8">
      <w:pPr>
        <w:jc w:val="both"/>
        <w:rPr>
          <w:rFonts w:eastAsia="Times New Roman"/>
          <w:bCs/>
          <w:lang w:val="en-PH"/>
        </w:rPr>
      </w:pPr>
      <w:r w:rsidRPr="0082217E">
        <w:rPr>
          <w:rFonts w:eastAsia="Times New Roman"/>
          <w:bCs/>
          <w:lang w:val="en-PH"/>
        </w:rPr>
        <w:t>The CCO must implement compliance programs, resolve conflicts, remediate violations, and submit an annual report under oath detailing policies, assessments, and staffing.</w:t>
      </w:r>
    </w:p>
    <w:p w14:paraId="5C3A1E61" w14:textId="77777777" w:rsidR="00296FE8" w:rsidRPr="0082217E" w:rsidRDefault="00296FE8" w:rsidP="00296FE8">
      <w:pPr>
        <w:jc w:val="both"/>
        <w:rPr>
          <w:rFonts w:eastAsia="Times New Roman"/>
          <w:bCs/>
          <w:lang w:val="en-PH"/>
        </w:rPr>
      </w:pPr>
      <w:r w:rsidRPr="0082217E">
        <w:rPr>
          <w:rFonts w:eastAsia="Times New Roman"/>
          <w:bCs/>
          <w:u w:val="single"/>
          <w:lang w:val="en-PH"/>
        </w:rPr>
        <w:t>11. Responsibilities of Governing Body</w:t>
      </w:r>
    </w:p>
    <w:p w14:paraId="3CAC6926" w14:textId="77777777" w:rsidR="00296FE8" w:rsidRPr="0082217E" w:rsidRDefault="00296FE8" w:rsidP="00296FE8">
      <w:pPr>
        <w:jc w:val="both"/>
        <w:rPr>
          <w:rFonts w:eastAsia="Times New Roman"/>
          <w:bCs/>
          <w:lang w:val="en-PH"/>
        </w:rPr>
      </w:pPr>
      <w:r w:rsidRPr="0082217E">
        <w:rPr>
          <w:rFonts w:eastAsia="Times New Roman"/>
          <w:bCs/>
          <w:lang w:val="en-PH"/>
        </w:rPr>
        <w:t>Under the US </w:t>
      </w:r>
      <w:hyperlink r:id="rId32" w:tgtFrame="_blank" w:history="1">
        <w:r w:rsidRPr="00185130">
          <w:rPr>
            <w:rStyle w:val="Hyperlink"/>
            <w:rFonts w:eastAsia="Times New Roman"/>
            <w:bCs/>
            <w:color w:val="FF6E00"/>
            <w:u w:val="none"/>
            <w:lang w:val="en-PH"/>
          </w:rPr>
          <w:t>Bank Secrecy Act</w:t>
        </w:r>
      </w:hyperlink>
      <w:r w:rsidRPr="0082217E">
        <w:rPr>
          <w:rFonts w:eastAsia="Times New Roman"/>
          <w:bCs/>
          <w:lang w:val="en-PH"/>
        </w:rPr>
        <w:t> and </w:t>
      </w:r>
      <w:hyperlink r:id="rId33" w:tgtFrame="_blank" w:history="1">
        <w:r w:rsidRPr="00185130">
          <w:rPr>
            <w:rStyle w:val="Hyperlink"/>
            <w:rFonts w:eastAsia="Times New Roman"/>
            <w:bCs/>
            <w:color w:val="FF6E00"/>
            <w:u w:val="none"/>
            <w:lang w:val="en-PH"/>
          </w:rPr>
          <w:t>31 CFR Chapter X</w:t>
        </w:r>
      </w:hyperlink>
      <w:r w:rsidRPr="0082217E">
        <w:rPr>
          <w:rFonts w:eastAsia="Times New Roman"/>
          <w:bCs/>
          <w:lang w:val="en-PH"/>
        </w:rPr>
        <w:t>, FCMs must establish written AML programs approved by senior management, conduct customer due diligence, and file Suspicious Activity Reports with FinCEN.</w:t>
      </w:r>
    </w:p>
    <w:p w14:paraId="3D4A9E96" w14:textId="77777777" w:rsidR="00296FE8" w:rsidRPr="0082217E" w:rsidRDefault="00296FE8" w:rsidP="00296FE8">
      <w:pPr>
        <w:jc w:val="both"/>
        <w:rPr>
          <w:rFonts w:eastAsia="Times New Roman"/>
          <w:bCs/>
          <w:lang w:val="en-PH"/>
        </w:rPr>
      </w:pPr>
      <w:r w:rsidRPr="0082217E">
        <w:rPr>
          <w:rFonts w:eastAsia="Times New Roman"/>
          <w:bCs/>
          <w:u w:val="single"/>
          <w:lang w:val="en-PH"/>
        </w:rPr>
        <w:t>12. Customer Protections in Bankruptc</w:t>
      </w:r>
      <w:r w:rsidRPr="0082217E">
        <w:rPr>
          <w:rFonts w:eastAsia="Times New Roman"/>
          <w:bCs/>
          <w:lang w:val="en-PH"/>
        </w:rPr>
        <w:t>y</w:t>
      </w:r>
    </w:p>
    <w:p w14:paraId="72B2BAC7" w14:textId="77777777" w:rsidR="00296FE8" w:rsidRPr="0082217E" w:rsidRDefault="00296FE8" w:rsidP="00296FE8">
      <w:pPr>
        <w:jc w:val="both"/>
        <w:rPr>
          <w:rFonts w:eastAsia="Times New Roman"/>
          <w:bCs/>
          <w:lang w:val="en-PH"/>
        </w:rPr>
      </w:pPr>
      <w:hyperlink r:id="rId34" w:history="1">
        <w:r w:rsidRPr="00185130">
          <w:rPr>
            <w:rStyle w:val="Hyperlink"/>
            <w:rFonts w:eastAsia="Times New Roman"/>
            <w:bCs/>
            <w:color w:val="FF6E00"/>
            <w:u w:val="none"/>
            <w:lang w:val="en-PH"/>
          </w:rPr>
          <w:t>US Bankruptcy Code</w:t>
        </w:r>
      </w:hyperlink>
      <w:r w:rsidRPr="00185130">
        <w:rPr>
          <w:rFonts w:eastAsia="Times New Roman"/>
          <w:bCs/>
          <w:color w:val="FF6E00"/>
          <w:lang w:val="en-PH"/>
        </w:rPr>
        <w:t> </w:t>
      </w:r>
      <w:r w:rsidRPr="0082217E">
        <w:rPr>
          <w:rFonts w:eastAsia="Times New Roman"/>
          <w:bCs/>
          <w:lang w:val="en-PH"/>
        </w:rPr>
        <w:t>and </w:t>
      </w:r>
      <w:hyperlink r:id="rId35" w:history="1">
        <w:r w:rsidRPr="00185130">
          <w:rPr>
            <w:rStyle w:val="Hyperlink"/>
            <w:rFonts w:eastAsia="Times New Roman"/>
            <w:bCs/>
            <w:color w:val="FF6E00"/>
            <w:u w:val="none"/>
            <w:lang w:val="en-PH"/>
          </w:rPr>
          <w:t>CFTC Part 190 Regulations</w:t>
        </w:r>
      </w:hyperlink>
      <w:r w:rsidRPr="0082217E">
        <w:rPr>
          <w:rFonts w:eastAsia="Times New Roman"/>
          <w:bCs/>
          <w:lang w:val="en-PH"/>
        </w:rPr>
        <w:t> safeguard customer funds by requiring segregation, providing priority claims, and defining “customer property.” There is no SIPC-style insurance coverage.</w:t>
      </w:r>
    </w:p>
    <w:p w14:paraId="4DB45FC6" w14:textId="77777777" w:rsidR="00296FE8" w:rsidRPr="0082217E" w:rsidRDefault="00296FE8" w:rsidP="00296FE8">
      <w:pPr>
        <w:jc w:val="both"/>
        <w:rPr>
          <w:rFonts w:eastAsia="Times New Roman"/>
          <w:bCs/>
          <w:lang w:val="en-PH"/>
        </w:rPr>
      </w:pPr>
      <w:r w:rsidRPr="0082217E">
        <w:rPr>
          <w:rFonts w:eastAsia="Times New Roman"/>
          <w:bCs/>
          <w:lang w:val="en-PH"/>
        </w:rPr>
        <w:t>For further information, see the full document at</w:t>
      </w:r>
      <w:r w:rsidRPr="00185130">
        <w:rPr>
          <w:rFonts w:eastAsia="Times New Roman"/>
          <w:bCs/>
          <w:lang w:val="en-PH"/>
        </w:rPr>
        <w:t>: </w:t>
      </w:r>
      <w:hyperlink r:id="rId36" w:tgtFrame="_blank" w:history="1">
        <w:r w:rsidRPr="00185130">
          <w:rPr>
            <w:rStyle w:val="Hyperlink"/>
            <w:rFonts w:eastAsia="Times New Roman"/>
            <w:bCs/>
            <w:color w:val="FF6E00"/>
            <w:u w:val="none"/>
            <w:lang w:val="en-PH"/>
          </w:rPr>
          <w:t>https://www.cftc.gov</w:t>
        </w:r>
      </w:hyperlink>
      <w:r w:rsidRPr="0082217E">
        <w:rPr>
          <w:rFonts w:eastAsia="Times New Roman"/>
          <w:bCs/>
          <w:lang w:val="en-PH"/>
        </w:rPr>
        <w:t> and NFA’s dedicated FCM registration portal at: </w:t>
      </w:r>
      <w:hyperlink r:id="rId37" w:tgtFrame="_blank" w:history="1">
        <w:r w:rsidRPr="00185130">
          <w:rPr>
            <w:rStyle w:val="Hyperlink"/>
            <w:rFonts w:eastAsia="Times New Roman"/>
            <w:bCs/>
            <w:color w:val="FF6E00"/>
            <w:u w:val="none"/>
            <w:lang w:val="en-PH"/>
          </w:rPr>
          <w:t>https://www.nfa.futures.org</w:t>
        </w:r>
      </w:hyperlink>
      <w:r w:rsidRPr="0082217E">
        <w:rPr>
          <w:rFonts w:eastAsia="Times New Roman"/>
          <w:bCs/>
          <w:lang w:val="en-PH"/>
        </w:rPr>
        <w:t>.</w:t>
      </w:r>
    </w:p>
    <w:p w14:paraId="38BA76AF" w14:textId="5CAA5B0D" w:rsidR="00296FE8" w:rsidRDefault="00296FE8" w:rsidP="006B4E27">
      <w:pPr>
        <w:jc w:val="both"/>
        <w:rPr>
          <w:rFonts w:eastAsia="Times New Roman"/>
          <w:bCs/>
          <w:lang w:val="en-PH"/>
        </w:rPr>
      </w:pPr>
      <w:r w:rsidRPr="0082217E">
        <w:rPr>
          <w:rFonts w:eastAsia="Times New Roman"/>
          <w:bCs/>
          <w:lang w:val="en-PH"/>
        </w:rPr>
        <w:t>(Source: </w:t>
      </w:r>
      <w:hyperlink r:id="rId38" w:tgtFrame="_blank" w:history="1">
        <w:r w:rsidRPr="00185130">
          <w:rPr>
            <w:rStyle w:val="Hyperlink"/>
            <w:rFonts w:eastAsia="Times New Roman"/>
            <w:bCs/>
            <w:color w:val="FF6E00"/>
            <w:lang w:val="en-PH"/>
          </w:rPr>
          <w:t>https://www.cftc.gov/PressRoom/PressReleases/9091-25</w:t>
        </w:r>
      </w:hyperlink>
      <w:r w:rsidRPr="0082217E">
        <w:rPr>
          <w:rFonts w:eastAsia="Times New Roman"/>
          <w:bCs/>
          <w:lang w:val="en-PH"/>
        </w:rPr>
        <w:t>)</w:t>
      </w:r>
    </w:p>
    <w:p w14:paraId="021B5A5D" w14:textId="77777777" w:rsidR="00BC0FDE" w:rsidRDefault="00BC0FDE" w:rsidP="006B4E27">
      <w:pPr>
        <w:jc w:val="both"/>
        <w:rPr>
          <w:rFonts w:eastAsia="Times New Roman"/>
          <w:bCs/>
          <w:lang w:val="en-PH"/>
        </w:rPr>
      </w:pPr>
    </w:p>
    <w:p w14:paraId="6FACF88B" w14:textId="77777777" w:rsidR="00BC0FDE" w:rsidRPr="00462C6E" w:rsidRDefault="00BC0FDE" w:rsidP="00BC0FDE">
      <w:pPr>
        <w:jc w:val="both"/>
        <w:rPr>
          <w:b/>
          <w:bCs/>
          <w:color w:val="FF6E00"/>
          <w:lang w:val="en-PH"/>
        </w:rPr>
      </w:pPr>
      <w:r w:rsidRPr="00462C6E">
        <w:rPr>
          <w:b/>
          <w:bCs/>
          <w:color w:val="FF6E00"/>
          <w:lang w:val="en-PH"/>
        </w:rPr>
        <w:t>US CFTC Issues No-</w:t>
      </w:r>
      <w:r w:rsidRPr="00B5553F">
        <w:rPr>
          <w:b/>
          <w:bCs/>
          <w:color w:val="FF6E00"/>
          <w:lang w:val="en-PH"/>
        </w:rPr>
        <w:t>Action</w:t>
      </w:r>
      <w:r w:rsidRPr="00462C6E">
        <w:rPr>
          <w:b/>
          <w:bCs/>
          <w:color w:val="FF6E00"/>
          <w:lang w:val="en-PH"/>
        </w:rPr>
        <w:t xml:space="preserve"> Letter for MIAX Futures on Derivatives Trading of Wheat Options</w:t>
      </w:r>
    </w:p>
    <w:p w14:paraId="59C7CFB3" w14:textId="77777777" w:rsidR="00BC0FDE" w:rsidRPr="00462C6E" w:rsidRDefault="00BC0FDE" w:rsidP="00BC0FDE">
      <w:pPr>
        <w:jc w:val="both"/>
        <w:rPr>
          <w:rFonts w:eastAsia="Times New Roman"/>
          <w:bCs/>
          <w:lang w:val="en-PH"/>
        </w:rPr>
      </w:pPr>
      <w:r w:rsidRPr="00462C6E">
        <w:rPr>
          <w:rFonts w:eastAsia="Times New Roman"/>
          <w:bCs/>
          <w:lang w:val="en-PH"/>
        </w:rPr>
        <w:t>On 25 June 2025, the United States Commodity Futures Trading Commission (</w:t>
      </w:r>
      <w:r w:rsidRPr="00462C6E">
        <w:rPr>
          <w:rFonts w:eastAsia="Times New Roman"/>
          <w:b/>
          <w:bCs/>
          <w:lang w:val="en-PH"/>
        </w:rPr>
        <w:t>US CFTC</w:t>
      </w:r>
      <w:r w:rsidRPr="00462C6E">
        <w:rPr>
          <w:rFonts w:eastAsia="Times New Roman"/>
          <w:bCs/>
          <w:lang w:val="en-PH"/>
        </w:rPr>
        <w:t>) issued a </w:t>
      </w:r>
      <w:hyperlink r:id="rId39" w:tgtFrame="_blank" w:history="1">
        <w:r w:rsidRPr="00B5553F">
          <w:rPr>
            <w:rStyle w:val="Hyperlink"/>
            <w:rFonts w:eastAsia="Times New Roman"/>
            <w:bCs/>
            <w:color w:val="FF6E00"/>
            <w:u w:val="none"/>
            <w:lang w:val="en-PH"/>
          </w:rPr>
          <w:t>No-Action Letter</w:t>
        </w:r>
      </w:hyperlink>
      <w:r w:rsidRPr="00462C6E">
        <w:rPr>
          <w:rFonts w:eastAsia="Times New Roman"/>
          <w:bCs/>
          <w:lang w:val="en-PH"/>
        </w:rPr>
        <w:t> (CFTC No-Action Letter No. 25-17) in relation to MIAX Futures Exchange, LLC’s temporary trading of Minneapolis Hard Red Spring Wheat (</w:t>
      </w:r>
      <w:r w:rsidRPr="00462C6E">
        <w:rPr>
          <w:rFonts w:eastAsia="Times New Roman"/>
          <w:b/>
          <w:bCs/>
          <w:lang w:val="en-PH"/>
        </w:rPr>
        <w:t>HRSW</w:t>
      </w:r>
      <w:r w:rsidRPr="00462C6E">
        <w:rPr>
          <w:rFonts w:eastAsia="Times New Roman"/>
          <w:bCs/>
          <w:lang w:val="en-PH"/>
        </w:rPr>
        <w:t>) options on futures exclusively through block trades, administered by the Division of Market Oversight.</w:t>
      </w:r>
    </w:p>
    <w:p w14:paraId="6177F2BF" w14:textId="77777777" w:rsidR="00BC0FDE" w:rsidRPr="00462C6E" w:rsidRDefault="00BC0FDE" w:rsidP="00BC0FDE">
      <w:pPr>
        <w:jc w:val="both"/>
        <w:rPr>
          <w:rFonts w:eastAsia="Times New Roman"/>
          <w:bCs/>
          <w:lang w:val="en-PH"/>
        </w:rPr>
      </w:pPr>
      <w:r w:rsidRPr="00462C6E">
        <w:rPr>
          <w:rFonts w:eastAsia="Times New Roman"/>
          <w:bCs/>
          <w:lang w:val="en-PH"/>
        </w:rPr>
        <w:lastRenderedPageBreak/>
        <w:t>The No-Action Letter addresses MIAX Futures’ request to facilitate trading of HRSW options after the unavailability of an electronic trading system, following the migration of HRSW futures to MIAX’s Onyx platform on 29 June 2025. It provides temporary relief from certain Designated Contract Market (</w:t>
      </w:r>
      <w:r w:rsidRPr="00462C6E">
        <w:rPr>
          <w:rFonts w:eastAsia="Times New Roman"/>
          <w:b/>
          <w:bCs/>
          <w:lang w:val="en-PH"/>
        </w:rPr>
        <w:t>DCM</w:t>
      </w:r>
      <w:r w:rsidRPr="00462C6E">
        <w:rPr>
          <w:rFonts w:eastAsia="Times New Roman"/>
          <w:bCs/>
          <w:lang w:val="en-PH"/>
        </w:rPr>
        <w:t>) requirements under the United States Commodity Exchange Act, allowing market participants, including non-Eligible Contract Participants (</w:t>
      </w:r>
      <w:r w:rsidRPr="00462C6E">
        <w:rPr>
          <w:rFonts w:eastAsia="Times New Roman"/>
          <w:b/>
          <w:bCs/>
          <w:lang w:val="en-PH"/>
        </w:rPr>
        <w:t>non-ECPs</w:t>
      </w:r>
      <w:r w:rsidRPr="00462C6E">
        <w:rPr>
          <w:rFonts w:eastAsia="Times New Roman"/>
          <w:bCs/>
          <w:lang w:val="en-PH"/>
        </w:rPr>
        <w:t>), to trade out of or offset open positions in the September and December 2025 expirations. The relief is conditional, time-limited, and aims to ensure market continuity without compromising regulatory oversight.</w:t>
      </w:r>
    </w:p>
    <w:p w14:paraId="51A878BB" w14:textId="77777777" w:rsidR="00BC0FDE" w:rsidRPr="00462C6E" w:rsidRDefault="00BC0FDE" w:rsidP="00BC0FDE">
      <w:pPr>
        <w:jc w:val="both"/>
        <w:rPr>
          <w:rFonts w:eastAsia="Times New Roman"/>
          <w:bCs/>
          <w:lang w:val="en-PH"/>
        </w:rPr>
      </w:pPr>
      <w:r w:rsidRPr="00462C6E">
        <w:rPr>
          <w:rFonts w:eastAsia="Times New Roman"/>
          <w:bCs/>
          <w:lang w:val="en-PH"/>
        </w:rPr>
        <w:t>MIAX Futures submitted the request on 23 June 2025, and the US CFTC issued the letter on 25 June 2025, with the relief effective from 29 June 2025 to 29 August 2025. The letter was open for public comment from 23 June to 25 June 2025.</w:t>
      </w:r>
    </w:p>
    <w:p w14:paraId="472C74A0" w14:textId="77777777" w:rsidR="00BC0FDE" w:rsidRPr="00462C6E" w:rsidRDefault="00BC0FDE" w:rsidP="00BC0FDE">
      <w:pPr>
        <w:jc w:val="both"/>
        <w:rPr>
          <w:rFonts w:eastAsia="Times New Roman"/>
          <w:bCs/>
          <w:lang w:val="en-PH"/>
        </w:rPr>
      </w:pPr>
      <w:r w:rsidRPr="00462C6E">
        <w:rPr>
          <w:rFonts w:eastAsia="Times New Roman"/>
          <w:bCs/>
          <w:lang w:val="en-PH"/>
        </w:rPr>
        <w:t>The US CFTC has stated it will not recommend enforcement action against MIAX Futures for implementing the Temporary HRSW Options Block Trading Protocol, which permits block trades without a centralized market, lowers the block trade threshold from 15 contracts to one contract, and allows non-ECPs to participate, provided the following conditions are met: the relief applies only to HRSW options in the September and December 2025 expirations; MIAX Futures must promptly file and post rule amendments on its website; the amendments must be identified as temporary and tied to the no-action relief; MIAX Futures must respond to US CFTC requests for additional information; and MIAX Futures must provide advance notice of plans to enable electronic trading of HRSW options on Onyx. The letter specifies that MIAX Futures will monitor trading to prevent manipulation and price distortions, with its Market Regulation Department reviewing block trade prices for fairness using comparable trade data, settlement prices, and a proprietary options pricing application.</w:t>
      </w:r>
    </w:p>
    <w:p w14:paraId="0F82FE09" w14:textId="77777777" w:rsidR="00BC0FDE" w:rsidRPr="00462C6E" w:rsidRDefault="00BC0FDE" w:rsidP="00BC0FDE">
      <w:pPr>
        <w:jc w:val="both"/>
        <w:rPr>
          <w:rFonts w:eastAsia="Times New Roman"/>
          <w:bCs/>
          <w:lang w:val="en-PH"/>
        </w:rPr>
      </w:pPr>
      <w:r w:rsidRPr="00462C6E">
        <w:rPr>
          <w:rFonts w:eastAsia="Times New Roman"/>
          <w:bCs/>
          <w:lang w:val="en-PH"/>
        </w:rPr>
        <w:t>(Source: </w:t>
      </w:r>
      <w:hyperlink r:id="rId40" w:tgtFrame="_blank" w:history="1">
        <w:r w:rsidRPr="00B5553F">
          <w:rPr>
            <w:rStyle w:val="Hyperlink"/>
            <w:rFonts w:eastAsia="Times New Roman"/>
            <w:bCs/>
            <w:color w:val="FF6E00"/>
            <w:lang w:val="en-PH"/>
          </w:rPr>
          <w:t>https://www.cftc.gov/PressRoom/PressReleases/9090-25</w:t>
        </w:r>
      </w:hyperlink>
      <w:r w:rsidRPr="00462C6E">
        <w:rPr>
          <w:rFonts w:eastAsia="Times New Roman"/>
          <w:bCs/>
          <w:lang w:val="en-PH"/>
        </w:rPr>
        <w:t>)</w:t>
      </w:r>
    </w:p>
    <w:p w14:paraId="3AC7A7B7" w14:textId="77777777" w:rsidR="00296FE8" w:rsidRDefault="00296FE8" w:rsidP="006B4E27">
      <w:pPr>
        <w:jc w:val="both"/>
        <w:rPr>
          <w:b/>
          <w:bCs/>
          <w:color w:val="FF6E00"/>
          <w:lang w:val="en-PH"/>
        </w:rPr>
      </w:pPr>
    </w:p>
    <w:p w14:paraId="04F87704" w14:textId="77777777" w:rsidR="0030374A" w:rsidRPr="00712161" w:rsidRDefault="0030374A" w:rsidP="0030374A">
      <w:pPr>
        <w:jc w:val="both"/>
        <w:rPr>
          <w:b/>
          <w:bCs/>
          <w:color w:val="FF6E00"/>
          <w:lang w:val="en-PH"/>
        </w:rPr>
      </w:pPr>
      <w:r w:rsidRPr="00712161">
        <w:rPr>
          <w:b/>
          <w:bCs/>
          <w:color w:val="FF6E00"/>
          <w:lang w:val="en-PH"/>
        </w:rPr>
        <w:t>Hong Kong HKMA and HK SFC Publish Joint Consultation Conclusions on Annual Update to Financial Services Providers List under the OTC Derivatives Regulatory Regime</w:t>
      </w:r>
    </w:p>
    <w:p w14:paraId="4AFA944B" w14:textId="77777777" w:rsidR="0030374A" w:rsidRPr="00712161" w:rsidRDefault="0030374A" w:rsidP="0030374A">
      <w:pPr>
        <w:jc w:val="both"/>
        <w:rPr>
          <w:rFonts w:eastAsia="Times New Roman"/>
          <w:bCs/>
          <w:lang w:val="en-PH"/>
        </w:rPr>
      </w:pPr>
      <w:r w:rsidRPr="00712161">
        <w:rPr>
          <w:rFonts w:eastAsia="Times New Roman"/>
          <w:bCs/>
          <w:lang w:val="en-PH"/>
        </w:rPr>
        <w:t>On 26 June 2025, the Hong Kong Monetary Authority (</w:t>
      </w:r>
      <w:r w:rsidRPr="00712161">
        <w:rPr>
          <w:rFonts w:eastAsia="Times New Roman"/>
          <w:b/>
          <w:bCs/>
          <w:lang w:val="en-PH"/>
        </w:rPr>
        <w:t>HKMA</w:t>
      </w:r>
      <w:r w:rsidRPr="00712161">
        <w:rPr>
          <w:rFonts w:eastAsia="Times New Roman"/>
          <w:bCs/>
          <w:lang w:val="en-PH"/>
        </w:rPr>
        <w:t>) and the Hong Kong Securities and Futures Commission (</w:t>
      </w:r>
      <w:r w:rsidRPr="00712161">
        <w:rPr>
          <w:rFonts w:eastAsia="Times New Roman"/>
          <w:b/>
          <w:bCs/>
          <w:lang w:val="en-PH"/>
        </w:rPr>
        <w:t>HK SFC</w:t>
      </w:r>
      <w:r w:rsidRPr="00712161">
        <w:rPr>
          <w:rFonts w:eastAsia="Times New Roman"/>
          <w:bCs/>
          <w:lang w:val="en-PH"/>
        </w:rPr>
        <w:t>) jointly issued the </w:t>
      </w:r>
      <w:r w:rsidRPr="00712161">
        <w:rPr>
          <w:rFonts w:eastAsia="Times New Roman"/>
          <w:bCs/>
          <w:i/>
          <w:iCs/>
          <w:lang w:val="en-PH"/>
        </w:rPr>
        <w:t>“</w:t>
      </w:r>
      <w:hyperlink r:id="rId41" w:tgtFrame="_blank" w:history="1">
        <w:r w:rsidRPr="008E537F">
          <w:rPr>
            <w:rStyle w:val="Hyperlink"/>
            <w:rFonts w:eastAsia="Times New Roman"/>
            <w:bCs/>
            <w:color w:val="FF6E00"/>
            <w:u w:val="none"/>
            <w:lang w:val="en-PH"/>
          </w:rPr>
          <w:t>Consultation Conclusions on the Annual Update to the Financial Services Providers List under the OTC Derivatives Regulatory Regime</w:t>
        </w:r>
      </w:hyperlink>
      <w:r>
        <w:t>.</w:t>
      </w:r>
      <w:r w:rsidRPr="00712161">
        <w:rPr>
          <w:rFonts w:eastAsia="Times New Roman"/>
          <w:bCs/>
          <w:i/>
          <w:iCs/>
          <w:lang w:val="en-PH"/>
        </w:rPr>
        <w:t>”</w:t>
      </w:r>
      <w:r w:rsidRPr="00712161">
        <w:rPr>
          <w:rFonts w:eastAsia="Times New Roman"/>
          <w:b/>
          <w:bCs/>
          <w:lang w:val="en-PH"/>
        </w:rPr>
        <w:t> </w:t>
      </w:r>
      <w:r w:rsidRPr="00712161">
        <w:rPr>
          <w:rFonts w:eastAsia="Times New Roman"/>
          <w:bCs/>
          <w:lang w:val="en-PH"/>
        </w:rPr>
        <w:t>The updated list of Financial Services Providers (</w:t>
      </w:r>
      <w:r w:rsidRPr="00712161">
        <w:rPr>
          <w:rFonts w:eastAsia="Times New Roman"/>
          <w:b/>
          <w:bCs/>
          <w:lang w:val="en-PH"/>
        </w:rPr>
        <w:t>FSP List</w:t>
      </w:r>
      <w:r w:rsidRPr="00712161">
        <w:rPr>
          <w:rFonts w:eastAsia="Times New Roman"/>
          <w:bCs/>
          <w:lang w:val="en-PH"/>
        </w:rPr>
        <w:t>) will be implemented from 1 January 2026.</w:t>
      </w:r>
    </w:p>
    <w:p w14:paraId="0A17D1CC" w14:textId="77777777" w:rsidR="0030374A" w:rsidRPr="00712161" w:rsidRDefault="0030374A" w:rsidP="0030374A">
      <w:pPr>
        <w:jc w:val="both"/>
        <w:rPr>
          <w:rFonts w:eastAsia="Times New Roman"/>
          <w:bCs/>
          <w:lang w:val="en-PH"/>
        </w:rPr>
      </w:pPr>
      <w:r w:rsidRPr="00712161">
        <w:rPr>
          <w:rFonts w:eastAsia="Times New Roman"/>
          <w:bCs/>
          <w:lang w:val="en-PH"/>
        </w:rPr>
        <w:t>The finalised annual revisions to the Hong Kong Financial Services Providers List under the city’s over-the-counter (</w:t>
      </w:r>
      <w:r w:rsidRPr="007D0963">
        <w:rPr>
          <w:rFonts w:eastAsia="Times New Roman"/>
          <w:b/>
          <w:lang w:val="en-PH"/>
        </w:rPr>
        <w:t>OTC</w:t>
      </w:r>
      <w:r w:rsidRPr="00712161">
        <w:rPr>
          <w:rFonts w:eastAsia="Times New Roman"/>
          <w:bCs/>
          <w:lang w:val="en-PH"/>
        </w:rPr>
        <w:t>) derivatives regulatory regime, is an important component of the statutory clearing framework under the Hong Kong </w:t>
      </w:r>
      <w:hyperlink r:id="rId42" w:tgtFrame="_blank" w:history="1">
        <w:r w:rsidRPr="003021A2">
          <w:rPr>
            <w:rStyle w:val="Hyperlink"/>
            <w:rFonts w:eastAsia="Times New Roman"/>
            <w:bCs/>
            <w:color w:val="FF6E00"/>
            <w:u w:val="none"/>
            <w:lang w:val="en-PH"/>
          </w:rPr>
          <w:t>Securities and Futures Ordinance</w:t>
        </w:r>
      </w:hyperlink>
      <w:r w:rsidRPr="00712161">
        <w:rPr>
          <w:rFonts w:eastAsia="Times New Roman"/>
          <w:b/>
          <w:bCs/>
          <w:lang w:val="en-PH"/>
        </w:rPr>
        <w:t> (</w:t>
      </w:r>
      <w:r w:rsidRPr="00712161">
        <w:rPr>
          <w:rFonts w:eastAsia="Times New Roman"/>
          <w:bCs/>
          <w:lang w:val="en-PH"/>
        </w:rPr>
        <w:t>Cap. 571</w:t>
      </w:r>
      <w:r w:rsidRPr="00712161">
        <w:rPr>
          <w:rFonts w:eastAsia="Times New Roman"/>
          <w:b/>
          <w:bCs/>
          <w:lang w:val="en-PH"/>
        </w:rPr>
        <w:t>)</w:t>
      </w:r>
      <w:r w:rsidRPr="00712161">
        <w:rPr>
          <w:rFonts w:eastAsia="Times New Roman"/>
          <w:bCs/>
          <w:lang w:val="en-PH"/>
        </w:rPr>
        <w:t> and is used to designate entities with roles in the global derivatives market. The revised FSP List will be gazetted during the fourth quarter of 2025 and will come into force on 1 January 2026.</w:t>
      </w:r>
    </w:p>
    <w:p w14:paraId="4ED83CB3" w14:textId="77777777" w:rsidR="0030374A" w:rsidRDefault="0030374A" w:rsidP="00D769DF">
      <w:pPr>
        <w:spacing w:after="0"/>
        <w:jc w:val="both"/>
        <w:rPr>
          <w:rFonts w:eastAsia="Times New Roman"/>
          <w:bCs/>
          <w:lang w:val="en-PH"/>
        </w:rPr>
      </w:pPr>
      <w:r w:rsidRPr="00712161">
        <w:rPr>
          <w:rFonts w:eastAsia="Times New Roman"/>
          <w:bCs/>
          <w:lang w:val="en-PH"/>
        </w:rPr>
        <w:t>The Hong Kong Financial Services Providers List identifies entities that are subject to enhanced clearing obligations under the OTC derivatives regulatory framework. To be included in the FSP List, an entity must satisfy both of the following criteria:</w:t>
      </w:r>
    </w:p>
    <w:p w14:paraId="58364915" w14:textId="77777777" w:rsidR="00D769DF" w:rsidRPr="00712161" w:rsidRDefault="00D769DF" w:rsidP="00D769DF">
      <w:pPr>
        <w:spacing w:after="0"/>
        <w:jc w:val="both"/>
        <w:rPr>
          <w:rFonts w:eastAsia="Times New Roman"/>
          <w:bCs/>
          <w:lang w:val="en-PH"/>
        </w:rPr>
      </w:pPr>
    </w:p>
    <w:p w14:paraId="589D84B4" w14:textId="77777777" w:rsidR="0030374A" w:rsidRDefault="0030374A" w:rsidP="0030374A">
      <w:pPr>
        <w:pStyle w:val="ListParagraph"/>
        <w:numPr>
          <w:ilvl w:val="0"/>
          <w:numId w:val="105"/>
        </w:numPr>
        <w:jc w:val="both"/>
        <w:rPr>
          <w:rFonts w:eastAsia="Times New Roman"/>
          <w:bCs/>
          <w:lang w:val="en-PH"/>
        </w:rPr>
      </w:pPr>
      <w:r w:rsidRPr="00296FE8">
        <w:rPr>
          <w:rFonts w:eastAsia="Times New Roman"/>
          <w:bCs/>
          <w:lang w:val="en-PH"/>
        </w:rPr>
        <w:t>It must belong to a group of companies that appears on either:</w:t>
      </w:r>
    </w:p>
    <w:p w14:paraId="2DF8D9E3" w14:textId="77777777" w:rsidR="0030374A" w:rsidRDefault="0030374A" w:rsidP="0030374A">
      <w:pPr>
        <w:pStyle w:val="ListParagraph"/>
        <w:jc w:val="both"/>
        <w:rPr>
          <w:rFonts w:eastAsia="Times New Roman"/>
          <w:bCs/>
          <w:lang w:val="en-PH"/>
        </w:rPr>
      </w:pPr>
    </w:p>
    <w:p w14:paraId="3ECBB3E7" w14:textId="77777777" w:rsidR="0030374A" w:rsidRDefault="0030374A" w:rsidP="0030374A">
      <w:pPr>
        <w:pStyle w:val="ListParagraph"/>
        <w:numPr>
          <w:ilvl w:val="0"/>
          <w:numId w:val="107"/>
        </w:numPr>
        <w:spacing w:after="0" w:line="257" w:lineRule="auto"/>
        <w:ind w:left="1281" w:hanging="357"/>
        <w:jc w:val="both"/>
        <w:rPr>
          <w:rFonts w:eastAsia="Times New Roman"/>
          <w:bCs/>
          <w:lang w:val="en-PH"/>
        </w:rPr>
      </w:pPr>
      <w:r w:rsidRPr="00296FE8">
        <w:rPr>
          <w:rFonts w:eastAsia="Times New Roman"/>
          <w:bCs/>
          <w:lang w:val="en-PH"/>
        </w:rPr>
        <w:lastRenderedPageBreak/>
        <w:t>The list of global systemically important banks (</w:t>
      </w:r>
      <w:r w:rsidRPr="00296FE8">
        <w:rPr>
          <w:rFonts w:eastAsia="Times New Roman"/>
          <w:b/>
          <w:bCs/>
          <w:lang w:val="en-PH"/>
        </w:rPr>
        <w:t>G-SIBs</w:t>
      </w:r>
      <w:r w:rsidRPr="00296FE8">
        <w:rPr>
          <w:rFonts w:eastAsia="Times New Roman"/>
          <w:bCs/>
          <w:lang w:val="en-PH"/>
        </w:rPr>
        <w:t>) published by the Financial Stability Board, or</w:t>
      </w:r>
    </w:p>
    <w:p w14:paraId="27C187FA" w14:textId="77777777" w:rsidR="0030374A" w:rsidRPr="00296FE8" w:rsidRDefault="0030374A" w:rsidP="0030374A">
      <w:pPr>
        <w:spacing w:after="0" w:line="257" w:lineRule="auto"/>
        <w:jc w:val="both"/>
        <w:rPr>
          <w:rFonts w:eastAsia="Times New Roman"/>
          <w:bCs/>
          <w:lang w:val="en-PH"/>
        </w:rPr>
      </w:pPr>
    </w:p>
    <w:p w14:paraId="468A3A3E" w14:textId="77777777" w:rsidR="0030374A" w:rsidRDefault="0030374A" w:rsidP="0030374A">
      <w:pPr>
        <w:pStyle w:val="ListParagraph"/>
        <w:numPr>
          <w:ilvl w:val="0"/>
          <w:numId w:val="107"/>
        </w:numPr>
        <w:spacing w:after="0" w:line="257" w:lineRule="auto"/>
        <w:ind w:left="1281" w:hanging="357"/>
        <w:jc w:val="both"/>
        <w:rPr>
          <w:rFonts w:eastAsia="Times New Roman"/>
          <w:bCs/>
          <w:lang w:val="en-PH"/>
        </w:rPr>
      </w:pPr>
      <w:r w:rsidRPr="00296FE8">
        <w:rPr>
          <w:rFonts w:eastAsia="Times New Roman"/>
          <w:bCs/>
          <w:lang w:val="en-PH"/>
        </w:rPr>
        <w:t>The list of major dealer groups that made formal undertakings to the OTC Derivatives Supervisors Group to collaborate with central counterparties (</w:t>
      </w:r>
      <w:r w:rsidRPr="00296FE8">
        <w:rPr>
          <w:rFonts w:eastAsia="Times New Roman"/>
          <w:b/>
          <w:bCs/>
          <w:lang w:val="en-PH"/>
        </w:rPr>
        <w:t>CCPs</w:t>
      </w:r>
      <w:r w:rsidRPr="00296FE8">
        <w:rPr>
          <w:rFonts w:eastAsia="Times New Roman"/>
          <w:bCs/>
          <w:lang w:val="en-PH"/>
        </w:rPr>
        <w:t>), infrastructure providers, and global regulators to enhance the global derivatives market structure.</w:t>
      </w:r>
    </w:p>
    <w:p w14:paraId="3FE92DBF" w14:textId="77777777" w:rsidR="0030374A" w:rsidRPr="00296FE8" w:rsidRDefault="0030374A" w:rsidP="00AF225C">
      <w:pPr>
        <w:spacing w:after="0" w:line="257" w:lineRule="auto"/>
        <w:jc w:val="both"/>
        <w:rPr>
          <w:rFonts w:eastAsia="Times New Roman"/>
          <w:bCs/>
          <w:lang w:val="en-PH"/>
        </w:rPr>
      </w:pPr>
    </w:p>
    <w:p w14:paraId="6F8CCE54" w14:textId="77777777" w:rsidR="0030374A" w:rsidRDefault="0030374A" w:rsidP="00AF225C">
      <w:pPr>
        <w:pStyle w:val="ListParagraph"/>
        <w:numPr>
          <w:ilvl w:val="0"/>
          <w:numId w:val="105"/>
        </w:numPr>
        <w:spacing w:after="0"/>
        <w:jc w:val="both"/>
        <w:rPr>
          <w:rFonts w:eastAsia="Times New Roman"/>
          <w:bCs/>
          <w:lang w:val="en-PH"/>
        </w:rPr>
      </w:pPr>
      <w:r w:rsidRPr="00296FE8">
        <w:rPr>
          <w:rFonts w:eastAsia="Times New Roman"/>
          <w:bCs/>
          <w:lang w:val="en-PH"/>
        </w:rPr>
        <w:t>It must be a clearing member of a major central counterparty (</w:t>
      </w:r>
      <w:r w:rsidRPr="00296FE8">
        <w:rPr>
          <w:rFonts w:eastAsia="Times New Roman"/>
          <w:b/>
          <w:bCs/>
          <w:lang w:val="en-PH"/>
        </w:rPr>
        <w:t>CCP</w:t>
      </w:r>
      <w:r w:rsidRPr="00296FE8">
        <w:rPr>
          <w:rFonts w:eastAsia="Times New Roman"/>
          <w:bCs/>
          <w:lang w:val="en-PH"/>
        </w:rPr>
        <w:t>) offering interest rate swap clearing services in at least one of the following jurisdictions: the United States, the European Union, Japan, or Hong Kong.</w:t>
      </w:r>
    </w:p>
    <w:p w14:paraId="7802372A" w14:textId="77777777" w:rsidR="00AF225C" w:rsidRPr="00296FE8" w:rsidRDefault="00AF225C" w:rsidP="00AF225C">
      <w:pPr>
        <w:pStyle w:val="ListParagraph"/>
        <w:spacing w:after="0"/>
        <w:jc w:val="both"/>
        <w:rPr>
          <w:rFonts w:eastAsia="Times New Roman"/>
          <w:bCs/>
          <w:lang w:val="en-PH"/>
        </w:rPr>
      </w:pPr>
    </w:p>
    <w:p w14:paraId="07D45379" w14:textId="77777777" w:rsidR="0030374A" w:rsidRPr="00712161" w:rsidRDefault="0030374A" w:rsidP="0030374A">
      <w:pPr>
        <w:jc w:val="both"/>
        <w:rPr>
          <w:rFonts w:eastAsia="Times New Roman"/>
          <w:bCs/>
          <w:lang w:val="en-PH"/>
        </w:rPr>
      </w:pPr>
      <w:r w:rsidRPr="00712161">
        <w:rPr>
          <w:rFonts w:eastAsia="Times New Roman"/>
          <w:bCs/>
          <w:lang w:val="en-PH"/>
        </w:rPr>
        <w:t>The FSP List supports the enforcement of mandatory clearing requirements under Part VIA of the Hong Kong Securities and Futures Ordinance and its accompanying rules, including the Hong Kong </w:t>
      </w:r>
      <w:hyperlink r:id="rId43" w:tgtFrame="_blank" w:history="1">
        <w:r w:rsidRPr="003021A2">
          <w:rPr>
            <w:rStyle w:val="Hyperlink"/>
            <w:rFonts w:eastAsia="Times New Roman"/>
            <w:bCs/>
            <w:color w:val="FF6E00"/>
            <w:u w:val="none"/>
            <w:lang w:val="en-PH"/>
          </w:rPr>
          <w:t>Securities and Futures (OTC Derivative Transactions – Clearing and Record Keeping Obligations and Designation of Central Counterparties) Rules</w:t>
        </w:r>
      </w:hyperlink>
      <w:r w:rsidRPr="00712161">
        <w:rPr>
          <w:rFonts w:eastAsia="Times New Roman"/>
          <w:bCs/>
          <w:lang w:val="en-PH"/>
        </w:rPr>
        <w:t>.</w:t>
      </w:r>
    </w:p>
    <w:p w14:paraId="7792EC3F" w14:textId="77777777" w:rsidR="0030374A" w:rsidRPr="00712161" w:rsidRDefault="0030374A" w:rsidP="0030374A">
      <w:pPr>
        <w:jc w:val="both"/>
        <w:rPr>
          <w:rFonts w:eastAsia="Times New Roman"/>
          <w:bCs/>
          <w:lang w:val="en-PH"/>
        </w:rPr>
      </w:pPr>
      <w:r w:rsidRPr="00712161">
        <w:rPr>
          <w:rFonts w:eastAsia="Times New Roman"/>
          <w:bCs/>
          <w:lang w:val="en-PH"/>
        </w:rPr>
        <w:t>The conclusions were issued following the April 2025 release of the </w:t>
      </w:r>
      <w:r w:rsidRPr="00712161">
        <w:rPr>
          <w:rFonts w:eastAsia="Times New Roman"/>
          <w:bCs/>
          <w:i/>
          <w:iCs/>
          <w:lang w:val="en-PH"/>
        </w:rPr>
        <w:t>Hong Kong </w:t>
      </w:r>
      <w:hyperlink r:id="rId44" w:tgtFrame="_blank" w:history="1">
        <w:r w:rsidRPr="003021A2">
          <w:rPr>
            <w:rStyle w:val="Hyperlink"/>
            <w:rFonts w:eastAsia="Times New Roman"/>
            <w:bCs/>
            <w:color w:val="FF6E00"/>
            <w:u w:val="none"/>
            <w:lang w:val="en-PH"/>
          </w:rPr>
          <w:t>Joint Consultation Paper on the Annual Update to the Financial Services Providers List under the OTC Derivatives Regulatory Regime</w:t>
        </w:r>
      </w:hyperlink>
      <w:r w:rsidRPr="00712161">
        <w:rPr>
          <w:rFonts w:eastAsia="Times New Roman"/>
          <w:bCs/>
          <w:lang w:val="en-PH"/>
        </w:rPr>
        <w:t>. Feedback from market participants generally supported the proposed updates, and no material objections were raised. The HKMA and HK SFC have therefore confirmed their intention to implement the revisions without further changes.</w:t>
      </w:r>
    </w:p>
    <w:p w14:paraId="5A7E1BEE" w14:textId="77777777" w:rsidR="0030374A" w:rsidRPr="00712161" w:rsidRDefault="0030374A" w:rsidP="0030374A">
      <w:pPr>
        <w:jc w:val="both"/>
        <w:rPr>
          <w:rFonts w:eastAsia="Times New Roman"/>
          <w:bCs/>
          <w:lang w:val="en-PH"/>
        </w:rPr>
      </w:pPr>
      <w:r w:rsidRPr="00712161">
        <w:rPr>
          <w:rFonts w:eastAsia="Times New Roman"/>
          <w:bCs/>
          <w:lang w:val="en-PH"/>
        </w:rPr>
        <w:t>(Source: </w:t>
      </w:r>
      <w:hyperlink r:id="rId45" w:tgtFrame="_blank" w:history="1">
        <w:r w:rsidRPr="003021A2">
          <w:rPr>
            <w:rStyle w:val="Hyperlink"/>
            <w:rFonts w:eastAsia="Times New Roman"/>
            <w:bCs/>
            <w:color w:val="FF6E00"/>
            <w:lang w:val="en-PH"/>
          </w:rPr>
          <w:t>https://www.hkma.gov.hk/eng/news-and-media/press-releases/2025/06/20250626-3/</w:t>
        </w:r>
      </w:hyperlink>
      <w:r w:rsidRPr="00712161">
        <w:rPr>
          <w:rFonts w:eastAsia="Times New Roman"/>
          <w:bCs/>
          <w:lang w:val="en-PH"/>
        </w:rPr>
        <w:t>)</w:t>
      </w:r>
    </w:p>
    <w:p w14:paraId="462F5A31" w14:textId="56C5FF3D" w:rsidR="00DE346B" w:rsidRDefault="00DE346B" w:rsidP="006B4E27">
      <w:pPr>
        <w:jc w:val="both"/>
        <w:rPr>
          <w:rFonts w:eastAsia="Times New Roman"/>
          <w:bCs/>
          <w:lang w:val="en-PH"/>
        </w:rPr>
      </w:pPr>
    </w:p>
    <w:p w14:paraId="65ED5680" w14:textId="77777777" w:rsidR="00BC0FDE" w:rsidRPr="00C20765" w:rsidRDefault="00BC0FDE" w:rsidP="00BC0FDE">
      <w:pPr>
        <w:jc w:val="both"/>
        <w:rPr>
          <w:b/>
          <w:bCs/>
          <w:color w:val="FF6E00"/>
          <w:lang w:val="en-PH"/>
        </w:rPr>
      </w:pPr>
      <w:r w:rsidRPr="00C20765">
        <w:rPr>
          <w:b/>
          <w:bCs/>
          <w:color w:val="FF6E00"/>
          <w:lang w:val="en-PH"/>
        </w:rPr>
        <w:t>US SEC Reviews NYSE Arca Proposal to List Grayscale Crypto ETF: Amendment Filed to Enable Spot Market Exposure via Digital Large Cap Fund</w:t>
      </w:r>
    </w:p>
    <w:p w14:paraId="5D1C5326" w14:textId="77777777" w:rsidR="00BC0FDE" w:rsidRPr="00C20765" w:rsidRDefault="00BC0FDE" w:rsidP="00BC0FDE">
      <w:pPr>
        <w:jc w:val="both"/>
        <w:rPr>
          <w:rFonts w:eastAsia="Times New Roman"/>
          <w:bCs/>
          <w:lang w:val="en-PH"/>
        </w:rPr>
      </w:pPr>
      <w:r w:rsidRPr="00C20765">
        <w:rPr>
          <w:rFonts w:eastAsia="Times New Roman"/>
          <w:bCs/>
          <w:lang w:val="en-PH"/>
        </w:rPr>
        <w:t>On 27 June 2025, the United States Securities and Exchange Commission (</w:t>
      </w:r>
      <w:r w:rsidRPr="00C20765">
        <w:rPr>
          <w:rFonts w:eastAsia="Times New Roman"/>
          <w:b/>
          <w:bCs/>
          <w:lang w:val="en-PH"/>
        </w:rPr>
        <w:t>US SEC</w:t>
      </w:r>
      <w:r w:rsidRPr="00C20765">
        <w:rPr>
          <w:rFonts w:eastAsia="Times New Roman"/>
          <w:bCs/>
          <w:lang w:val="en-PH"/>
        </w:rPr>
        <w:t>) issued </w:t>
      </w:r>
      <w:hyperlink r:id="rId46" w:tgtFrame="_blank" w:history="1">
        <w:r w:rsidRPr="00C20765">
          <w:rPr>
            <w:rStyle w:val="Hyperlink"/>
            <w:rFonts w:eastAsia="Times New Roman"/>
            <w:bCs/>
            <w:color w:val="FF6E00"/>
            <w:u w:val="none"/>
            <w:lang w:val="en-PH"/>
          </w:rPr>
          <w:t>Release No. 34-103345</w:t>
        </w:r>
      </w:hyperlink>
      <w:r w:rsidRPr="00C20765">
        <w:rPr>
          <w:rFonts w:eastAsia="Times New Roman"/>
          <w:bCs/>
          <w:lang w:val="en-PH"/>
        </w:rPr>
        <w:t> (File No. SR-NYSEARCA-2024-87), inviting public comment on Amendment No. 1 to NYSE Arca’s proposed rule change to list and trade shares of the Grayscale Digital Large Cap Fund LLC, a diversified crypto trust tracking the CoinDesk 5 Index. The revised proposal seeks approval under the Exchange’s existing Rule 8.500-E.</w:t>
      </w:r>
    </w:p>
    <w:p w14:paraId="22AED32A" w14:textId="77777777" w:rsidR="00BC0FDE" w:rsidRPr="00C20765" w:rsidRDefault="00BC0FDE" w:rsidP="00BC0FDE">
      <w:pPr>
        <w:jc w:val="both"/>
        <w:rPr>
          <w:rFonts w:eastAsia="Times New Roman"/>
          <w:bCs/>
          <w:lang w:val="en-PH"/>
        </w:rPr>
      </w:pPr>
      <w:r w:rsidRPr="00C20765">
        <w:rPr>
          <w:rFonts w:eastAsia="Times New Roman"/>
          <w:bCs/>
          <w:lang w:val="en-PH"/>
        </w:rPr>
        <w:t>The revised filing withdraws NYSE Arca’s prior effort to introduce a new listing category for digital asset-based investment interests (Rule 8.800-E) and instead integrates the proposal within established Trust Unit rules under Rule 8.500-E. The amendment aims to transform the Grayscale Digital Large Cap Fund (</w:t>
      </w:r>
      <w:r w:rsidRPr="00C20765">
        <w:rPr>
          <w:rFonts w:eastAsia="Times New Roman"/>
          <w:b/>
          <w:bCs/>
          <w:lang w:val="en-PH"/>
        </w:rPr>
        <w:t>GDLC</w:t>
      </w:r>
      <w:r w:rsidRPr="00C20765">
        <w:rPr>
          <w:rFonts w:eastAsia="Times New Roman"/>
          <w:bCs/>
          <w:lang w:val="en-PH"/>
        </w:rPr>
        <w:t>), currently quoted on OTCQX, into a publicly listed spot crypto ETF, allowing in-kind creation and redemption mechanisms. The US SEC continues its evaluation under Section 6(b)(5) and Section 19(b)(2)(B) of the United States </w:t>
      </w:r>
      <w:hyperlink r:id="rId47" w:tgtFrame="_blank" w:history="1">
        <w:r w:rsidRPr="00C20765">
          <w:rPr>
            <w:rStyle w:val="Hyperlink"/>
            <w:rFonts w:eastAsia="Times New Roman"/>
            <w:bCs/>
            <w:color w:val="FF6E00"/>
            <w:u w:val="none"/>
            <w:lang w:val="en-PH"/>
          </w:rPr>
          <w:t>Securities Exchange Act of 1934</w:t>
        </w:r>
      </w:hyperlink>
      <w:r w:rsidRPr="00C20765">
        <w:rPr>
          <w:rFonts w:eastAsia="Times New Roman"/>
          <w:bCs/>
          <w:lang w:val="en-PH"/>
        </w:rPr>
        <w:t>, focusing on anti-fraud mechanisms, investor protection, and whether the underlying market structure satisfies the US SEC’s long-standing concerns around surveillance and market manipulation</w:t>
      </w:r>
      <w:r>
        <w:rPr>
          <w:rFonts w:eastAsia="Times New Roman"/>
          <w:bCs/>
          <w:lang w:val="en-PH"/>
        </w:rPr>
        <w:t>.</w:t>
      </w:r>
    </w:p>
    <w:p w14:paraId="27E7BD7D" w14:textId="77777777" w:rsidR="00BC0FDE" w:rsidRPr="00C20765" w:rsidRDefault="00BC0FDE" w:rsidP="00BC0FDE">
      <w:pPr>
        <w:jc w:val="both"/>
        <w:rPr>
          <w:rFonts w:eastAsia="Times New Roman"/>
          <w:bCs/>
          <w:lang w:val="en-PH"/>
        </w:rPr>
      </w:pPr>
      <w:r w:rsidRPr="00C20765">
        <w:rPr>
          <w:rFonts w:eastAsia="Times New Roman"/>
          <w:bCs/>
          <w:lang w:val="en-PH"/>
        </w:rPr>
        <w:t>The amendment defines “Trust Units” under NYSE Arca Rule 8.500-E(b)(2) as “securities issued by a trust, limited liability company, or other similar entity” holding investments in futures, options, swaps, commodities, or securities, with the proposed amendment clarifying that commodity pool status applies only “if applicable</w:t>
      </w:r>
      <w:r w:rsidRPr="00C20765">
        <w:rPr>
          <w:rFonts w:eastAsia="Times New Roman"/>
          <w:bCs/>
          <w:i/>
          <w:iCs/>
          <w:lang w:val="en-PH"/>
        </w:rPr>
        <w:t>.</w:t>
      </w:r>
      <w:r w:rsidRPr="00C20765">
        <w:rPr>
          <w:rFonts w:eastAsia="Times New Roman"/>
          <w:bCs/>
          <w:lang w:val="en-PH"/>
        </w:rPr>
        <w:t xml:space="preserve">” This broadens issuer flexibility, potentially increasing ETP offerings. The “Index Price” </w:t>
      </w:r>
      <w:r w:rsidRPr="00C20765">
        <w:rPr>
          <w:rFonts w:eastAsia="Times New Roman"/>
          <w:bCs/>
          <w:lang w:val="en-PH"/>
        </w:rPr>
        <w:lastRenderedPageBreak/>
        <w:t>is defined as “the U.S. dollar value of each Fund Component derived from the Digital Asset Trading Platforms…calculated at 4:00 p.m. New York time</w:t>
      </w:r>
      <w:r w:rsidRPr="00C20765">
        <w:rPr>
          <w:rFonts w:eastAsia="Times New Roman"/>
          <w:bCs/>
          <w:i/>
          <w:iCs/>
          <w:lang w:val="en-PH"/>
        </w:rPr>
        <w:t>,</w:t>
      </w:r>
      <w:r w:rsidRPr="00C20765">
        <w:rPr>
          <w:rFonts w:eastAsia="Times New Roman"/>
          <w:bCs/>
          <w:lang w:val="en-PH"/>
        </w:rPr>
        <w:t>” designed to mitigate fraud through volume-weighted, real-time adjustments.</w:t>
      </w:r>
    </w:p>
    <w:p w14:paraId="005D25FA" w14:textId="77777777" w:rsidR="00BC0FDE" w:rsidRPr="00C20765" w:rsidRDefault="00BC0FDE" w:rsidP="00BC0FDE">
      <w:pPr>
        <w:jc w:val="both"/>
        <w:rPr>
          <w:rFonts w:eastAsia="Times New Roman"/>
          <w:bCs/>
          <w:lang w:val="en-PH"/>
        </w:rPr>
      </w:pPr>
      <w:r w:rsidRPr="00C20765">
        <w:rPr>
          <w:rFonts w:eastAsia="Times New Roman"/>
          <w:bCs/>
          <w:lang w:val="en-PH"/>
        </w:rPr>
        <w:t>The US SEC’s focus on the CD5’s pricing methodology is to eliminate manipulation risks in less-regulated digital asset markets. The requirement for 85% Approved Components aligns with prior approvals for Bitcoin ETFs, where CME futures provided a regulated reference market. The absence of similar futures for all Fund Components complicates approval, as the US SEC seeks assurance that non-ISG platforms do not undermine pricing integrity. The proposed surveillance, leveraging FINRA and ISG, aims to address this, but public comments will likely shape whether these measures suffice under Section 6(b)(5).</w:t>
      </w:r>
    </w:p>
    <w:p w14:paraId="108698D4" w14:textId="77777777" w:rsidR="00BC0FDE" w:rsidRPr="00C20765" w:rsidRDefault="00BC0FDE" w:rsidP="00BC0FDE">
      <w:pPr>
        <w:jc w:val="both"/>
        <w:rPr>
          <w:rFonts w:eastAsia="Times New Roman"/>
          <w:bCs/>
          <w:lang w:val="en-PH"/>
        </w:rPr>
      </w:pPr>
      <w:r w:rsidRPr="00C20765">
        <w:rPr>
          <w:rFonts w:eastAsia="Times New Roman"/>
          <w:bCs/>
          <w:u w:val="single"/>
          <w:lang w:val="en-PH"/>
        </w:rPr>
        <w:t>Timeline</w:t>
      </w:r>
    </w:p>
    <w:p w14:paraId="16A1A88E" w14:textId="77777777" w:rsidR="00BC0FDE" w:rsidRDefault="00BC0FDE" w:rsidP="00BC0FDE">
      <w:pPr>
        <w:jc w:val="both"/>
        <w:rPr>
          <w:rFonts w:eastAsia="Times New Roman"/>
          <w:bCs/>
          <w:lang w:val="en-PH"/>
        </w:rPr>
      </w:pPr>
      <w:r w:rsidRPr="00C20765">
        <w:rPr>
          <w:rFonts w:eastAsia="Times New Roman"/>
          <w:bCs/>
          <w:lang w:val="en-PH"/>
        </w:rPr>
        <w:t>On 15 October 2024, NYSE Arca filed the initial proposal to adopt new Rule 8.800-E and list GDLC shares.</w:t>
      </w:r>
    </w:p>
    <w:p w14:paraId="52CBFF85" w14:textId="77777777" w:rsidR="00BC0FDE" w:rsidRDefault="00BC0FDE" w:rsidP="00BC0FDE">
      <w:pPr>
        <w:jc w:val="both"/>
        <w:rPr>
          <w:rFonts w:eastAsia="Times New Roman"/>
          <w:bCs/>
          <w:lang w:val="en-PH"/>
        </w:rPr>
      </w:pPr>
      <w:r w:rsidRPr="00C20765">
        <w:rPr>
          <w:rFonts w:eastAsia="Times New Roman"/>
          <w:bCs/>
          <w:lang w:val="en-PH"/>
        </w:rPr>
        <w:t>On 4 November 2024, proposal was published in the Federal Register (89 FR 87681).</w:t>
      </w:r>
    </w:p>
    <w:p w14:paraId="77167C98" w14:textId="77777777" w:rsidR="00BC0FDE" w:rsidRDefault="00BC0FDE" w:rsidP="00BC0FDE">
      <w:pPr>
        <w:jc w:val="both"/>
        <w:rPr>
          <w:rFonts w:eastAsia="Times New Roman"/>
          <w:bCs/>
          <w:lang w:val="en-PH"/>
        </w:rPr>
      </w:pPr>
      <w:r w:rsidRPr="00C20765">
        <w:rPr>
          <w:rFonts w:eastAsia="Times New Roman"/>
          <w:bCs/>
          <w:lang w:val="en-PH"/>
        </w:rPr>
        <w:t>On 17 December 2024, US SEC extended review period under Section 19(b)(2).</w:t>
      </w:r>
    </w:p>
    <w:p w14:paraId="34B6B91F" w14:textId="77777777" w:rsidR="00BC0FDE" w:rsidRDefault="00BC0FDE" w:rsidP="00BC0FDE">
      <w:pPr>
        <w:jc w:val="both"/>
        <w:rPr>
          <w:rFonts w:eastAsia="Times New Roman"/>
          <w:bCs/>
          <w:lang w:val="en-PH"/>
        </w:rPr>
      </w:pPr>
      <w:r w:rsidRPr="00C20765">
        <w:rPr>
          <w:rFonts w:eastAsia="Times New Roman"/>
          <w:bCs/>
          <w:lang w:val="en-PH"/>
        </w:rPr>
        <w:t>On 31 January 2025, US SEC instituted Proceedings under Section 19(b)(2)(B) to determine approval/disapproval.</w:t>
      </w:r>
    </w:p>
    <w:p w14:paraId="60E8B54C" w14:textId="77777777" w:rsidR="00BC0FDE" w:rsidRDefault="00BC0FDE" w:rsidP="00BC0FDE">
      <w:pPr>
        <w:jc w:val="both"/>
        <w:rPr>
          <w:rFonts w:eastAsia="Times New Roman"/>
          <w:bCs/>
          <w:lang w:val="en-PH"/>
        </w:rPr>
      </w:pPr>
      <w:r w:rsidRPr="00C20765">
        <w:rPr>
          <w:rFonts w:eastAsia="Times New Roman"/>
          <w:bCs/>
          <w:lang w:val="en-PH"/>
        </w:rPr>
        <w:t>On 29 April 2025, US SEC gave further extension for decision deadline to 2 July 2025.</w:t>
      </w:r>
    </w:p>
    <w:p w14:paraId="5A80190C" w14:textId="77777777" w:rsidR="00BC0FDE" w:rsidRDefault="00BC0FDE" w:rsidP="00BC0FDE">
      <w:pPr>
        <w:jc w:val="both"/>
        <w:rPr>
          <w:rFonts w:eastAsia="Times New Roman"/>
          <w:bCs/>
          <w:lang w:val="en-PH"/>
        </w:rPr>
      </w:pPr>
      <w:r w:rsidRPr="00C20765">
        <w:rPr>
          <w:rFonts w:eastAsia="Times New Roman"/>
          <w:bCs/>
          <w:lang w:val="en-PH"/>
        </w:rPr>
        <w:t>On 26 June 2025, NYSE Arca filed Amendment No. 1, replacing the original rule proposal entirely.</w:t>
      </w:r>
    </w:p>
    <w:p w14:paraId="7F4DC589" w14:textId="77777777" w:rsidR="00BC0FDE" w:rsidRPr="00C20765" w:rsidRDefault="00BC0FDE" w:rsidP="00BC0FDE">
      <w:pPr>
        <w:jc w:val="both"/>
        <w:rPr>
          <w:rFonts w:eastAsia="Times New Roman"/>
          <w:bCs/>
          <w:lang w:val="en-PH"/>
        </w:rPr>
      </w:pPr>
      <w:r w:rsidRPr="00C20765">
        <w:rPr>
          <w:rFonts w:eastAsia="Times New Roman"/>
          <w:bCs/>
          <w:lang w:val="en-PH"/>
        </w:rPr>
        <w:t>On 27 June 2025, US SEC published the amended proposal for public comment.</w:t>
      </w:r>
    </w:p>
    <w:p w14:paraId="65A0135A" w14:textId="77777777" w:rsidR="00BC0FDE" w:rsidRPr="00C20765" w:rsidRDefault="00BC0FDE" w:rsidP="00BC0FDE">
      <w:pPr>
        <w:jc w:val="both"/>
        <w:rPr>
          <w:rFonts w:eastAsia="Times New Roman"/>
          <w:bCs/>
          <w:lang w:val="en-PH"/>
        </w:rPr>
      </w:pPr>
      <w:r w:rsidRPr="00C20765">
        <w:rPr>
          <w:rFonts w:eastAsia="Times New Roman"/>
          <w:bCs/>
          <w:u w:val="single"/>
          <w:lang w:val="en-PH"/>
        </w:rPr>
        <w:t>ETF Structure and Digital Asset Exposure</w:t>
      </w:r>
    </w:p>
    <w:p w14:paraId="491343D4" w14:textId="77777777" w:rsidR="00BC0FDE" w:rsidRPr="00C20765" w:rsidRDefault="00BC0FDE" w:rsidP="00BC0FDE">
      <w:pPr>
        <w:jc w:val="both"/>
        <w:rPr>
          <w:rFonts w:eastAsia="Times New Roman"/>
          <w:bCs/>
          <w:lang w:val="en-PH"/>
        </w:rPr>
      </w:pPr>
      <w:r w:rsidRPr="00C20765">
        <w:rPr>
          <w:rFonts w:eastAsia="Times New Roman"/>
          <w:bCs/>
          <w:lang w:val="en-PH"/>
        </w:rPr>
        <w:t>The Grayscale Digital Large Cap Fund, a Cayman Islands limited liability company formed on 25 January 2018, operates as a passive investment vehicle managed by Grayscale Investments Sponsors, LLC, a subsidiary of Digital Currency Group, Inc. The Fund’s assets consist of digital assets comprising the CD5, including Bitcoin and other major cryptocurrencies, with weightings generally mirroring the index unless adjusted by the manager under rules-based circumstances. The Fund’s shares, expected to trade under the ticker “GDLC,” are registered under Section 12(g) of the United States </w:t>
      </w:r>
      <w:hyperlink r:id="rId48" w:tgtFrame="_blank" w:history="1">
        <w:r w:rsidRPr="00C20765">
          <w:rPr>
            <w:rStyle w:val="Hyperlink"/>
            <w:rFonts w:eastAsia="Times New Roman"/>
            <w:bCs/>
            <w:color w:val="FF6E00"/>
            <w:u w:val="none"/>
            <w:lang w:val="en-PH"/>
          </w:rPr>
          <w:t>Securities Exchange Act of 1934</w:t>
        </w:r>
      </w:hyperlink>
      <w:r w:rsidRPr="00C20765">
        <w:rPr>
          <w:rFonts w:eastAsia="Times New Roman"/>
          <w:bCs/>
          <w:lang w:val="en-PH"/>
        </w:rPr>
        <w:t> and have been quoted on OTCQX since 14 October 2019. The Fund is not registered under the United States Investment Company Act of 1940, relying on exemptions for commodity pools or similar entities.</w:t>
      </w:r>
    </w:p>
    <w:p w14:paraId="031DF795" w14:textId="77777777" w:rsidR="00BC0FDE" w:rsidRPr="00C20765" w:rsidRDefault="00BC0FDE" w:rsidP="00BC0FDE">
      <w:pPr>
        <w:jc w:val="both"/>
        <w:rPr>
          <w:rFonts w:eastAsia="Times New Roman"/>
          <w:bCs/>
          <w:lang w:val="en-PH"/>
        </w:rPr>
      </w:pPr>
      <w:r w:rsidRPr="00C20765">
        <w:rPr>
          <w:rFonts w:eastAsia="Times New Roman"/>
          <w:bCs/>
          <w:lang w:val="en-PH"/>
        </w:rPr>
        <w:t>The net asset value (</w:t>
      </w:r>
      <w:r w:rsidRPr="00C20765">
        <w:rPr>
          <w:rFonts w:eastAsia="Times New Roman"/>
          <w:b/>
          <w:bCs/>
          <w:lang w:val="en-PH"/>
        </w:rPr>
        <w:t>NAV</w:t>
      </w:r>
      <w:r w:rsidRPr="00C20765">
        <w:rPr>
          <w:rFonts w:eastAsia="Times New Roman"/>
          <w:bCs/>
          <w:lang w:val="en-PH"/>
        </w:rPr>
        <w:t>) is calculated daily at 4:00 p.m. New York time, using Index Prices from the CD5, adjusted for expenses like the Manager’s Fee (currently 2.5% annually, to be lowered upon ETP listing) and Additional Fund Expenses. Creation and redemption of shares occur via “Baskets” through Authorized Participants, facilitated by Liquidity Providers transferring digital assets or cash. Coinbase Custody Trust Company, LLC serves as custodian, with BNY Mellon Asset Servicing as administrator and transfer agent, and Foreside Fund Services, LLC as marketing agent. The Fund does not engage in active management or derivatives, and it prospectively abandons Forked Assets acquired through blockchain forks.</w:t>
      </w:r>
    </w:p>
    <w:p w14:paraId="2FAFC142" w14:textId="77777777" w:rsidR="00BC0FDE" w:rsidRPr="00C20765" w:rsidRDefault="00BC0FDE" w:rsidP="00BC0FDE">
      <w:pPr>
        <w:jc w:val="both"/>
        <w:rPr>
          <w:rFonts w:eastAsia="Times New Roman"/>
          <w:bCs/>
          <w:lang w:val="en-PH"/>
        </w:rPr>
      </w:pPr>
      <w:r w:rsidRPr="00C20765">
        <w:rPr>
          <w:rFonts w:eastAsia="Times New Roman"/>
          <w:bCs/>
          <w:lang w:val="en-PH"/>
        </w:rPr>
        <w:t>The Grayscale Digital Large Cap Fund LLC, formed in the Cayman Islands and managed by Grayscale Investments, seeks to track the CoinDesk 5 Index (</w:t>
      </w:r>
      <w:r w:rsidRPr="00C20765">
        <w:rPr>
          <w:rFonts w:eastAsia="Times New Roman"/>
          <w:b/>
          <w:bCs/>
          <w:lang w:val="en-PH"/>
        </w:rPr>
        <w:t>CD5</w:t>
      </w:r>
      <w:r w:rsidRPr="00C20765">
        <w:rPr>
          <w:rFonts w:eastAsia="Times New Roman"/>
          <w:bCs/>
          <w:lang w:val="en-PH"/>
        </w:rPr>
        <w:t>), which represents ~86% of the total market cap (excluding stablecoins) as of March 2025. The Fund’s assets are limited to the following spot cryptoassets (approximate weights as of filing date):</w:t>
      </w:r>
    </w:p>
    <w:p w14:paraId="0495C851" w14:textId="77777777" w:rsidR="00BC0FDE" w:rsidRPr="00C20765" w:rsidRDefault="00BC0FDE" w:rsidP="00BC0FDE">
      <w:pPr>
        <w:numPr>
          <w:ilvl w:val="0"/>
          <w:numId w:val="100"/>
        </w:numPr>
        <w:jc w:val="both"/>
        <w:rPr>
          <w:rFonts w:eastAsia="Times New Roman"/>
          <w:bCs/>
          <w:lang w:val="en-PH"/>
        </w:rPr>
      </w:pPr>
      <w:r w:rsidRPr="00C20765">
        <w:rPr>
          <w:rFonts w:eastAsia="Times New Roman"/>
          <w:bCs/>
          <w:lang w:val="en-PH"/>
        </w:rPr>
        <w:lastRenderedPageBreak/>
        <w:t>Bitcoin (BTC) – 80.20%</w:t>
      </w:r>
    </w:p>
    <w:p w14:paraId="01326C8C" w14:textId="77777777" w:rsidR="00BC0FDE" w:rsidRPr="00C20765" w:rsidRDefault="00BC0FDE" w:rsidP="00BC0FDE">
      <w:pPr>
        <w:numPr>
          <w:ilvl w:val="0"/>
          <w:numId w:val="100"/>
        </w:numPr>
        <w:jc w:val="both"/>
        <w:rPr>
          <w:rFonts w:eastAsia="Times New Roman"/>
          <w:bCs/>
          <w:lang w:val="en-PH"/>
        </w:rPr>
      </w:pPr>
      <w:r w:rsidRPr="00C20765">
        <w:rPr>
          <w:rFonts w:eastAsia="Times New Roman"/>
          <w:bCs/>
          <w:lang w:val="en-PH"/>
        </w:rPr>
        <w:t>Ether (ETH) – 11.39%</w:t>
      </w:r>
    </w:p>
    <w:p w14:paraId="067AF547" w14:textId="77777777" w:rsidR="00BC0FDE" w:rsidRPr="00C20765" w:rsidRDefault="00BC0FDE" w:rsidP="00BC0FDE">
      <w:pPr>
        <w:numPr>
          <w:ilvl w:val="0"/>
          <w:numId w:val="100"/>
        </w:numPr>
        <w:jc w:val="both"/>
        <w:rPr>
          <w:rFonts w:eastAsia="Times New Roman"/>
          <w:bCs/>
          <w:lang w:val="en-PH"/>
        </w:rPr>
      </w:pPr>
      <w:r w:rsidRPr="00C20765">
        <w:rPr>
          <w:rFonts w:eastAsia="Times New Roman"/>
          <w:bCs/>
          <w:lang w:val="en-PH"/>
        </w:rPr>
        <w:t>XRP – 4.82%</w:t>
      </w:r>
    </w:p>
    <w:p w14:paraId="36206409" w14:textId="77777777" w:rsidR="00BC0FDE" w:rsidRPr="00C20765" w:rsidRDefault="00BC0FDE" w:rsidP="00BC0FDE">
      <w:pPr>
        <w:numPr>
          <w:ilvl w:val="0"/>
          <w:numId w:val="100"/>
        </w:numPr>
        <w:jc w:val="both"/>
        <w:rPr>
          <w:rFonts w:eastAsia="Times New Roman"/>
          <w:bCs/>
          <w:lang w:val="en-PH"/>
        </w:rPr>
      </w:pPr>
      <w:r w:rsidRPr="00C20765">
        <w:rPr>
          <w:rFonts w:eastAsia="Times New Roman"/>
          <w:bCs/>
          <w:lang w:val="en-PH"/>
        </w:rPr>
        <w:t>Solana (SOL) – 2.78%</w:t>
      </w:r>
    </w:p>
    <w:p w14:paraId="13AA77EF" w14:textId="77777777" w:rsidR="00BC0FDE" w:rsidRPr="00C20765" w:rsidRDefault="00BC0FDE" w:rsidP="00BC0FDE">
      <w:pPr>
        <w:numPr>
          <w:ilvl w:val="0"/>
          <w:numId w:val="100"/>
        </w:numPr>
        <w:jc w:val="both"/>
        <w:rPr>
          <w:rFonts w:eastAsia="Times New Roman"/>
          <w:bCs/>
          <w:lang w:val="en-PH"/>
        </w:rPr>
      </w:pPr>
      <w:r w:rsidRPr="00C20765">
        <w:rPr>
          <w:rFonts w:eastAsia="Times New Roman"/>
          <w:bCs/>
          <w:lang w:val="en-PH"/>
        </w:rPr>
        <w:t>Cardano (ADA) – 0.81%</w:t>
      </w:r>
    </w:p>
    <w:p w14:paraId="0DC7CB11" w14:textId="77777777" w:rsidR="00BC0FDE" w:rsidRPr="00C20765" w:rsidRDefault="00BC0FDE" w:rsidP="00BC0FDE">
      <w:pPr>
        <w:jc w:val="both"/>
        <w:rPr>
          <w:rFonts w:eastAsia="Times New Roman"/>
          <w:bCs/>
          <w:lang w:val="en-PH"/>
        </w:rPr>
      </w:pPr>
      <w:r w:rsidRPr="00C20765">
        <w:rPr>
          <w:rFonts w:eastAsia="Times New Roman"/>
          <w:bCs/>
          <w:lang w:val="en-PH"/>
        </w:rPr>
        <w:t>The fund will not use derivatives, staking, leverage, or lending. Coinbase Custody Trust Company acts as the custodian with BNY Mellon as transfer agent. Index pricing is based on a volume-weighted composite from a basket of global trading platforms, including both US and non-US licensed venues.</w:t>
      </w:r>
    </w:p>
    <w:p w14:paraId="44C60A57" w14:textId="77777777" w:rsidR="00BC0FDE" w:rsidRPr="00C20765" w:rsidRDefault="00BC0FDE" w:rsidP="00BC0FDE">
      <w:pPr>
        <w:jc w:val="both"/>
        <w:rPr>
          <w:rFonts w:eastAsia="Times New Roman"/>
          <w:bCs/>
          <w:lang w:val="en-PH"/>
        </w:rPr>
      </w:pPr>
      <w:r w:rsidRPr="00C20765">
        <w:rPr>
          <w:rFonts w:eastAsia="Times New Roman"/>
          <w:bCs/>
          <w:lang w:val="en-PH"/>
        </w:rPr>
        <w:t>Interested parties may submit comments on the proposed rule change, as modified by Amendment No. 1, until 21 days after publication in the Federal Register, expected by mid-July 2025. Submissions should reference File No. SR-NYSEARCA-2024-87 and can be made electronically via the </w:t>
      </w:r>
      <w:hyperlink r:id="rId49" w:tgtFrame="_blank" w:history="1">
        <w:r w:rsidRPr="00B5553F">
          <w:rPr>
            <w:rStyle w:val="Hyperlink"/>
            <w:rFonts w:eastAsia="Times New Roman"/>
            <w:bCs/>
            <w:color w:val="FF6E00"/>
            <w:u w:val="none"/>
            <w:lang w:val="en-PH"/>
          </w:rPr>
          <w:t>US SEC’s comment form</w:t>
        </w:r>
        <w:r w:rsidRPr="00B5553F">
          <w:rPr>
            <w:rStyle w:val="Hyperlink"/>
            <w:rFonts w:eastAsia="Times New Roman"/>
            <w:bCs/>
            <w:u w:val="none"/>
            <w:lang w:val="en-PH"/>
          </w:rPr>
          <w:t> </w:t>
        </w:r>
      </w:hyperlink>
      <w:r w:rsidRPr="00C20765">
        <w:rPr>
          <w:rFonts w:eastAsia="Times New Roman"/>
          <w:bCs/>
          <w:lang w:val="en-PH"/>
        </w:rPr>
        <w:t xml:space="preserve">or by email to </w:t>
      </w:r>
      <w:hyperlink r:id="rId50" w:history="1">
        <w:r w:rsidRPr="004C48C4">
          <w:rPr>
            <w:rStyle w:val="Hyperlink"/>
            <w:rFonts w:eastAsia="Times New Roman"/>
            <w:bCs/>
            <w:color w:val="FF6E00"/>
            <w:u w:val="none"/>
            <w:lang w:val="en-PH"/>
          </w:rPr>
          <w:t>rule-comments@sec.gov</w:t>
        </w:r>
      </w:hyperlink>
      <w:r w:rsidRPr="00C20765">
        <w:rPr>
          <w:rFonts w:eastAsia="Times New Roman"/>
          <w:bCs/>
          <w:lang w:val="en-PH"/>
        </w:rPr>
        <w:t>, with the file number in the subject line. Paper comments should be sent in triplicate to the Secretary, Securities and Exchange Commission, 100 F Street NE, Washington, DC 20549-1090. All comments will be posted on the </w:t>
      </w:r>
      <w:hyperlink r:id="rId51" w:tgtFrame="_blank" w:history="1">
        <w:r w:rsidRPr="00B5553F">
          <w:rPr>
            <w:rStyle w:val="Hyperlink"/>
            <w:rFonts w:eastAsia="Times New Roman"/>
            <w:bCs/>
            <w:color w:val="FF6E00"/>
            <w:u w:val="none"/>
            <w:lang w:val="en-PH"/>
          </w:rPr>
          <w:t>US SEC’s website</w:t>
        </w:r>
      </w:hyperlink>
      <w:r w:rsidRPr="00C20765">
        <w:rPr>
          <w:rFonts w:eastAsia="Times New Roman"/>
          <w:bCs/>
          <w:lang w:val="en-PH"/>
        </w:rPr>
        <w:t> and available for public viewing at the US SEC’s Public Reference Room.</w:t>
      </w:r>
    </w:p>
    <w:p w14:paraId="7C878A29" w14:textId="77777777" w:rsidR="00BC0FDE" w:rsidRPr="00C20765" w:rsidRDefault="00BC0FDE" w:rsidP="00BC0FDE">
      <w:pPr>
        <w:jc w:val="both"/>
        <w:rPr>
          <w:rFonts w:eastAsia="Times New Roman"/>
          <w:bCs/>
          <w:lang w:val="en-PH"/>
        </w:rPr>
      </w:pPr>
      <w:r w:rsidRPr="00C20765">
        <w:rPr>
          <w:rFonts w:eastAsia="Times New Roman"/>
          <w:bCs/>
          <w:lang w:val="en-PH"/>
        </w:rPr>
        <w:t>(Source: </w:t>
      </w:r>
      <w:hyperlink r:id="rId52" w:tgtFrame="_blank" w:history="1">
        <w:r w:rsidRPr="00B5553F">
          <w:rPr>
            <w:rStyle w:val="Hyperlink"/>
            <w:rFonts w:eastAsia="Times New Roman"/>
            <w:bCs/>
            <w:color w:val="FF6E00"/>
            <w:lang w:val="en-PH"/>
          </w:rPr>
          <w:t>https://www.sec.gov/files/rules/sro/nysearca/2025/34-103345.pdf</w:t>
        </w:r>
      </w:hyperlink>
      <w:r w:rsidRPr="00C20765">
        <w:rPr>
          <w:rFonts w:eastAsia="Times New Roman"/>
          <w:bCs/>
          <w:lang w:val="en-PH"/>
        </w:rPr>
        <w:t>)</w:t>
      </w:r>
    </w:p>
    <w:p w14:paraId="45DDB81F" w14:textId="77777777" w:rsidR="00BC0FDE" w:rsidRDefault="00BC0FDE" w:rsidP="006B4E27">
      <w:pPr>
        <w:jc w:val="both"/>
        <w:rPr>
          <w:rFonts w:eastAsia="Times New Roman"/>
          <w:bCs/>
          <w:lang w:val="en-PH"/>
        </w:rPr>
      </w:pPr>
    </w:p>
    <w:p w14:paraId="7645FFC2" w14:textId="77777777" w:rsidR="0030374A" w:rsidRPr="00C61E0D" w:rsidRDefault="0030374A" w:rsidP="0030374A">
      <w:pPr>
        <w:jc w:val="both"/>
        <w:rPr>
          <w:b/>
          <w:bCs/>
          <w:color w:val="FF6E00"/>
          <w:lang w:val="en-PH"/>
        </w:rPr>
      </w:pPr>
      <w:r w:rsidRPr="00C61E0D">
        <w:rPr>
          <w:b/>
          <w:bCs/>
          <w:color w:val="FF6E00"/>
          <w:lang w:val="en-PH"/>
        </w:rPr>
        <w:t>FATF Publishes Blacklist of High-Risk Jurisdictions Requiring Enhanced Due Diligence as of 13 June 2025</w:t>
      </w:r>
    </w:p>
    <w:p w14:paraId="7671A558" w14:textId="77777777" w:rsidR="0030374A" w:rsidRPr="00C61E0D" w:rsidRDefault="0030374A" w:rsidP="0030374A">
      <w:pPr>
        <w:jc w:val="both"/>
        <w:rPr>
          <w:rFonts w:eastAsia="Times New Roman"/>
          <w:bCs/>
          <w:lang w:val="en-PH"/>
        </w:rPr>
      </w:pPr>
      <w:r w:rsidRPr="00C61E0D">
        <w:rPr>
          <w:rFonts w:eastAsia="Times New Roman"/>
          <w:bCs/>
          <w:lang w:val="en-PH"/>
        </w:rPr>
        <w:t>On 13 June 2025, the Financial Action Task Force (</w:t>
      </w:r>
      <w:r w:rsidRPr="00C61E0D">
        <w:rPr>
          <w:rFonts w:eastAsia="Times New Roman"/>
          <w:b/>
          <w:bCs/>
          <w:lang w:val="en-PH"/>
        </w:rPr>
        <w:t>FATF</w:t>
      </w:r>
      <w:r w:rsidRPr="00C61E0D">
        <w:rPr>
          <w:rFonts w:eastAsia="Times New Roman"/>
          <w:bCs/>
          <w:lang w:val="en-PH"/>
        </w:rPr>
        <w:t>) released its latest update on High-Risk Jurisdictions subject to a Call for Action, commonly referred to as the </w:t>
      </w:r>
      <w:hyperlink r:id="rId53" w:tgtFrame="_blank" w:history="1">
        <w:r w:rsidRPr="00185130">
          <w:rPr>
            <w:rStyle w:val="Hyperlink"/>
            <w:rFonts w:eastAsia="Times New Roman"/>
            <w:bCs/>
            <w:color w:val="FF6E00"/>
            <w:u w:val="none"/>
            <w:lang w:val="en-PH"/>
          </w:rPr>
          <w:t>FATF “blacklist.” </w:t>
        </w:r>
      </w:hyperlink>
      <w:r w:rsidRPr="00C61E0D">
        <w:rPr>
          <w:rFonts w:eastAsia="Times New Roman"/>
          <w:bCs/>
          <w:lang w:val="en-PH"/>
        </w:rPr>
        <w:t>This designation identifies countries with serious and ongoing strategic deficiencies in their regimes to counter money laundering, terrorist financing, and the financing of weapons of mass destruction proliferation.</w:t>
      </w:r>
    </w:p>
    <w:p w14:paraId="00E11915" w14:textId="77777777" w:rsidR="0030374A" w:rsidRPr="00C61E0D" w:rsidRDefault="0030374A" w:rsidP="0030374A">
      <w:pPr>
        <w:jc w:val="both"/>
        <w:rPr>
          <w:rFonts w:eastAsia="Times New Roman"/>
          <w:bCs/>
          <w:lang w:val="en-PH"/>
        </w:rPr>
      </w:pPr>
      <w:r w:rsidRPr="00C61E0D">
        <w:rPr>
          <w:rFonts w:eastAsia="Times New Roman"/>
          <w:bCs/>
          <w:lang w:val="en-PH"/>
        </w:rPr>
        <w:t>The FATF continues to call upon all its members and urges all jurisdictions globally to apply enhanced due diligence</w:t>
      </w:r>
      <w:r w:rsidRPr="00C61E0D">
        <w:rPr>
          <w:rFonts w:eastAsia="Times New Roman"/>
          <w:b/>
          <w:bCs/>
          <w:lang w:val="en-PH"/>
        </w:rPr>
        <w:t> (EDD) </w:t>
      </w:r>
      <w:r w:rsidRPr="00C61E0D">
        <w:rPr>
          <w:rFonts w:eastAsia="Times New Roman"/>
          <w:bCs/>
          <w:lang w:val="en-PH"/>
        </w:rPr>
        <w:t>to financial transactions involving these countries. In the most severe cases, jurisdictions are advised to impose </w:t>
      </w:r>
      <w:proofErr w:type="gramStart"/>
      <w:r w:rsidRPr="00C61E0D">
        <w:rPr>
          <w:rFonts w:eastAsia="Times New Roman"/>
          <w:bCs/>
          <w:lang w:val="en-PH"/>
        </w:rPr>
        <w:t>counter-measures</w:t>
      </w:r>
      <w:proofErr w:type="gramEnd"/>
      <w:r w:rsidRPr="00C61E0D">
        <w:rPr>
          <w:rFonts w:eastAsia="Times New Roman"/>
          <w:bCs/>
          <w:lang w:val="en-PH"/>
        </w:rPr>
        <w:t> to safeguard the integrity of the international financial system. These may include increased reporting requirements, limitations on business relationships, or other restrictive measures as deemed appropriate.</w:t>
      </w:r>
    </w:p>
    <w:p w14:paraId="568BF4B3" w14:textId="77777777" w:rsidR="0030374A" w:rsidRPr="00C61E0D" w:rsidRDefault="0030374A" w:rsidP="0030374A">
      <w:pPr>
        <w:jc w:val="both"/>
        <w:rPr>
          <w:rFonts w:eastAsia="Times New Roman"/>
          <w:bCs/>
          <w:lang w:val="en-PH"/>
        </w:rPr>
      </w:pPr>
      <w:r w:rsidRPr="00C61E0D">
        <w:rPr>
          <w:rFonts w:eastAsia="Times New Roman"/>
          <w:bCs/>
          <w:lang w:val="en-PH"/>
        </w:rPr>
        <w:t>As of 13 June 2025, the following jurisdictions remain on the blacklist:</w:t>
      </w:r>
    </w:p>
    <w:p w14:paraId="5237481A" w14:textId="77777777" w:rsidR="0030374A" w:rsidRPr="00C61E0D" w:rsidRDefault="0030374A" w:rsidP="0030374A">
      <w:pPr>
        <w:numPr>
          <w:ilvl w:val="0"/>
          <w:numId w:val="101"/>
        </w:numPr>
        <w:jc w:val="both"/>
        <w:rPr>
          <w:rFonts w:eastAsia="Times New Roman"/>
          <w:bCs/>
          <w:lang w:val="en-PH"/>
        </w:rPr>
      </w:pPr>
      <w:r w:rsidRPr="00C61E0D">
        <w:rPr>
          <w:rFonts w:eastAsia="Times New Roman"/>
          <w:b/>
          <w:bCs/>
          <w:lang w:val="en-PH"/>
        </w:rPr>
        <w:t>Democratic People’s Republic of Korea (North Korea)</w:t>
      </w:r>
    </w:p>
    <w:p w14:paraId="2DD5E0EB" w14:textId="77777777" w:rsidR="0030374A" w:rsidRPr="00C61E0D" w:rsidRDefault="0030374A" w:rsidP="0030374A">
      <w:pPr>
        <w:numPr>
          <w:ilvl w:val="0"/>
          <w:numId w:val="101"/>
        </w:numPr>
        <w:jc w:val="both"/>
        <w:rPr>
          <w:rFonts w:eastAsia="Times New Roman"/>
          <w:bCs/>
          <w:lang w:val="en-PH"/>
        </w:rPr>
      </w:pPr>
      <w:r w:rsidRPr="00C61E0D">
        <w:rPr>
          <w:rFonts w:eastAsia="Times New Roman"/>
          <w:b/>
          <w:bCs/>
          <w:lang w:val="en-PH"/>
        </w:rPr>
        <w:t>Iran</w:t>
      </w:r>
    </w:p>
    <w:p w14:paraId="01225830" w14:textId="77777777" w:rsidR="0030374A" w:rsidRPr="00C61E0D" w:rsidRDefault="0030374A" w:rsidP="0030374A">
      <w:pPr>
        <w:numPr>
          <w:ilvl w:val="0"/>
          <w:numId w:val="101"/>
        </w:numPr>
        <w:jc w:val="both"/>
        <w:rPr>
          <w:rFonts w:eastAsia="Times New Roman"/>
          <w:bCs/>
          <w:lang w:val="en-PH"/>
        </w:rPr>
      </w:pPr>
      <w:r w:rsidRPr="00C61E0D">
        <w:rPr>
          <w:rFonts w:eastAsia="Times New Roman"/>
          <w:b/>
          <w:bCs/>
          <w:lang w:val="en-PH"/>
        </w:rPr>
        <w:t>Myanmar</w:t>
      </w:r>
    </w:p>
    <w:p w14:paraId="1D9DE17C" w14:textId="77777777" w:rsidR="0030374A" w:rsidRPr="00C61E0D" w:rsidRDefault="0030374A" w:rsidP="0030374A">
      <w:pPr>
        <w:jc w:val="both"/>
        <w:rPr>
          <w:rFonts w:eastAsia="Times New Roman"/>
          <w:bCs/>
          <w:lang w:val="en-PH"/>
        </w:rPr>
      </w:pPr>
      <w:r w:rsidRPr="00C61E0D">
        <w:rPr>
          <w:rFonts w:eastAsia="Times New Roman"/>
          <w:bCs/>
          <w:lang w:val="en-PH"/>
        </w:rPr>
        <w:t>According to FATF, each of these countries has demonstrated prolonged non-compliance with FATF standards and poses a continued risk to the global financial system. Jurisdictions and financial institutions are advised to monitor the FATF website and national regulatory guidance to ensure full compliance with applicable obligations stemming from these listings.</w:t>
      </w:r>
    </w:p>
    <w:p w14:paraId="72859E4C" w14:textId="613C4864" w:rsidR="0030374A" w:rsidRDefault="0030374A" w:rsidP="006B4E27">
      <w:pPr>
        <w:jc w:val="both"/>
        <w:rPr>
          <w:rFonts w:eastAsia="Times New Roman"/>
          <w:bCs/>
          <w:lang w:val="en-PH"/>
        </w:rPr>
      </w:pPr>
      <w:r w:rsidRPr="00C61E0D">
        <w:rPr>
          <w:rFonts w:eastAsia="Times New Roman"/>
          <w:bCs/>
          <w:lang w:val="en-PH"/>
        </w:rPr>
        <w:lastRenderedPageBreak/>
        <w:t>(Source: </w:t>
      </w:r>
      <w:hyperlink r:id="rId54" w:tgtFrame="_blank" w:history="1">
        <w:r w:rsidRPr="00185130">
          <w:rPr>
            <w:rStyle w:val="Hyperlink"/>
            <w:rFonts w:eastAsia="Times New Roman"/>
            <w:bCs/>
            <w:color w:val="FF6E00"/>
            <w:lang w:val="en-PH"/>
          </w:rPr>
          <w:t>https://www.fatf-gafi.org/en/countries/black-and-grey-lists.html</w:t>
        </w:r>
      </w:hyperlink>
      <w:r w:rsidRPr="00C61E0D">
        <w:rPr>
          <w:rFonts w:eastAsia="Times New Roman"/>
          <w:bCs/>
          <w:lang w:val="en-PH"/>
        </w:rPr>
        <w:t>)</w:t>
      </w:r>
    </w:p>
    <w:p w14:paraId="02FE711C" w14:textId="77777777" w:rsidR="0030374A" w:rsidRDefault="0030374A" w:rsidP="006B4E27">
      <w:pPr>
        <w:jc w:val="both"/>
        <w:rPr>
          <w:rFonts w:eastAsia="Times New Roman"/>
          <w:bCs/>
          <w:lang w:val="en-PH"/>
        </w:rPr>
      </w:pPr>
    </w:p>
    <w:p w14:paraId="6B22EA53" w14:textId="77777777" w:rsidR="00634252" w:rsidRDefault="00634252" w:rsidP="006B4E27">
      <w:pPr>
        <w:jc w:val="both"/>
        <w:rPr>
          <w:rFonts w:eastAsia="Times New Roman"/>
          <w:bCs/>
          <w:lang w:val="en-PH"/>
        </w:rPr>
      </w:pPr>
    </w:p>
    <w:p w14:paraId="60F3840D" w14:textId="77777777" w:rsidR="00144837" w:rsidRDefault="00144837" w:rsidP="006B4E27">
      <w:pPr>
        <w:jc w:val="both"/>
        <w:rPr>
          <w:rFonts w:eastAsia="Times New Roman"/>
          <w:bCs/>
          <w:lang w:val="en-PH"/>
        </w:rPr>
      </w:pPr>
    </w:p>
    <w:p w14:paraId="5C17368D" w14:textId="77777777" w:rsidR="00144837" w:rsidRDefault="00144837" w:rsidP="006B4E27">
      <w:pPr>
        <w:jc w:val="both"/>
        <w:rPr>
          <w:rFonts w:eastAsia="Times New Roman"/>
          <w:bCs/>
          <w:lang w:val="en-PH"/>
        </w:rPr>
      </w:pPr>
    </w:p>
    <w:p w14:paraId="7F4C98D7" w14:textId="77777777" w:rsidR="00144837" w:rsidRDefault="00144837" w:rsidP="00C73CCD">
      <w:pPr>
        <w:rPr>
          <w:rFonts w:eastAsia="Times New Roman"/>
          <w:bCs/>
          <w:lang w:val="en-PH"/>
        </w:rPr>
      </w:pPr>
    </w:p>
    <w:p w14:paraId="696345BF" w14:textId="77777777" w:rsidR="006337A3" w:rsidRDefault="006337A3" w:rsidP="00C73CCD">
      <w:pPr>
        <w:rPr>
          <w:rFonts w:eastAsia="Times New Roman"/>
          <w:bCs/>
          <w:lang w:val="en-PH"/>
        </w:rPr>
      </w:pPr>
    </w:p>
    <w:p w14:paraId="68CA92DD" w14:textId="77777777" w:rsidR="006C1A1B" w:rsidRDefault="006C1A1B" w:rsidP="00C73CCD">
      <w:pPr>
        <w:rPr>
          <w:rFonts w:eastAsia="Times New Roman"/>
          <w:bCs/>
          <w:lang w:val="en-PH"/>
        </w:rPr>
      </w:pPr>
    </w:p>
    <w:p w14:paraId="2278AC21" w14:textId="77777777" w:rsidR="00D75D1C" w:rsidRDefault="00D75D1C" w:rsidP="00C73CCD">
      <w:pPr>
        <w:rPr>
          <w:rFonts w:eastAsia="Times New Roman"/>
          <w:bCs/>
          <w:lang w:val="en-PH"/>
        </w:rPr>
      </w:pPr>
    </w:p>
    <w:p w14:paraId="0D6FB140" w14:textId="77777777" w:rsidR="00FE0316" w:rsidRDefault="00FE0316" w:rsidP="00C73CCD">
      <w:pPr>
        <w:rPr>
          <w:rFonts w:eastAsia="Times New Roman"/>
          <w:bCs/>
          <w:lang w:val="en-PH"/>
        </w:rPr>
      </w:pPr>
    </w:p>
    <w:p w14:paraId="46473799" w14:textId="77777777" w:rsidR="00292BED" w:rsidRDefault="00292BED" w:rsidP="00C73CCD">
      <w:pPr>
        <w:rPr>
          <w:rFonts w:eastAsia="Times New Roman"/>
          <w:bCs/>
          <w:lang w:val="en-PH"/>
        </w:rPr>
      </w:pPr>
    </w:p>
    <w:p w14:paraId="0F45B0C4" w14:textId="77777777" w:rsidR="00292BED" w:rsidRDefault="00292BED" w:rsidP="00C73CCD">
      <w:pPr>
        <w:rPr>
          <w:rFonts w:eastAsia="Times New Roman"/>
          <w:bCs/>
          <w:lang w:val="en-PH"/>
        </w:rPr>
      </w:pPr>
    </w:p>
    <w:p w14:paraId="79947570" w14:textId="77777777" w:rsidR="00292BED" w:rsidRDefault="00292BED" w:rsidP="00C73CCD">
      <w:pPr>
        <w:rPr>
          <w:rFonts w:eastAsia="Times New Roman"/>
          <w:bCs/>
          <w:lang w:val="en-PH"/>
        </w:rPr>
      </w:pPr>
    </w:p>
    <w:p w14:paraId="705EF771" w14:textId="77777777" w:rsidR="00292BED" w:rsidRPr="00AD3CFC" w:rsidRDefault="00292BED"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55">
        <w:r w:rsidRPr="00C46FF7">
          <w:rPr>
            <w:rFonts w:ascii="Arial" w:hAnsi="Arial" w:cs="Arial"/>
            <w:sz w:val="22"/>
            <w:szCs w:val="22"/>
            <w:lang w:val="en-GB"/>
          </w:rPr>
          <w:t>unsubscribe@charltonslaw.com</w:t>
        </w:r>
      </w:hyperlink>
    </w:p>
    <w:p w14:paraId="4BFB9E37" w14:textId="5485D744"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4E264B">
        <w:rPr>
          <w:rFonts w:ascii="Arial" w:hAnsi="Arial" w:cs="Arial"/>
          <w:sz w:val="22"/>
          <w:szCs w:val="22"/>
          <w:lang w:val="en-GB"/>
        </w:rPr>
        <w:t>5</w:t>
      </w:r>
      <w:r w:rsidR="0088406A">
        <w:rPr>
          <w:rFonts w:ascii="Arial" w:hAnsi="Arial" w:cs="Arial"/>
          <w:sz w:val="22"/>
          <w:szCs w:val="22"/>
          <w:lang w:val="en-GB"/>
        </w:rPr>
        <w:t>2</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88406A">
        <w:rPr>
          <w:rFonts w:ascii="Arial" w:eastAsia="Cambria" w:hAnsi="Arial" w:cs="Arial"/>
          <w:sz w:val="22"/>
          <w:szCs w:val="22"/>
          <w:lang w:val="en-GB"/>
        </w:rPr>
        <w:t>July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F5C1" w14:textId="77777777" w:rsidR="00585DF9" w:rsidRDefault="00585DF9" w:rsidP="009101EB">
      <w:pPr>
        <w:spacing w:after="0" w:line="240" w:lineRule="auto"/>
      </w:pPr>
      <w:r>
        <w:separator/>
      </w:r>
    </w:p>
  </w:endnote>
  <w:endnote w:type="continuationSeparator" w:id="0">
    <w:p w14:paraId="2C498A6C" w14:textId="77777777" w:rsidR="00585DF9" w:rsidRDefault="00585DF9" w:rsidP="009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95E" w14:textId="77777777" w:rsidR="009101EB" w:rsidRDefault="009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6F1A" w14:textId="77777777" w:rsidR="009101EB" w:rsidRDefault="009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275" w14:textId="77777777" w:rsidR="009101EB" w:rsidRDefault="009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807A" w14:textId="77777777" w:rsidR="00585DF9" w:rsidRDefault="00585DF9" w:rsidP="009101EB">
      <w:pPr>
        <w:spacing w:after="0" w:line="240" w:lineRule="auto"/>
      </w:pPr>
      <w:r>
        <w:separator/>
      </w:r>
    </w:p>
  </w:footnote>
  <w:footnote w:type="continuationSeparator" w:id="0">
    <w:p w14:paraId="2DE08D43" w14:textId="77777777" w:rsidR="00585DF9" w:rsidRDefault="00585DF9" w:rsidP="0091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189" w14:textId="77777777" w:rsidR="009101EB" w:rsidRDefault="009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16B9" w14:textId="77777777" w:rsidR="009101EB" w:rsidRDefault="00910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436" w14:textId="77777777" w:rsidR="009101EB" w:rsidRDefault="009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4F6"/>
    <w:multiLevelType w:val="multilevel"/>
    <w:tmpl w:val="BF2A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6B643A"/>
    <w:multiLevelType w:val="hybridMultilevel"/>
    <w:tmpl w:val="8FCCFBEE"/>
    <w:lvl w:ilvl="0" w:tplc="3409001B">
      <w:start w:val="1"/>
      <w:numFmt w:val="lowerRoman"/>
      <w:lvlText w:val="%1."/>
      <w:lvlJc w:val="righ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0"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DE2A43"/>
    <w:multiLevelType w:val="multilevel"/>
    <w:tmpl w:val="23140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36713B7B"/>
    <w:multiLevelType w:val="multilevel"/>
    <w:tmpl w:val="5B1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A32FD5"/>
    <w:multiLevelType w:val="multilevel"/>
    <w:tmpl w:val="76DC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2017F6"/>
    <w:multiLevelType w:val="hybridMultilevel"/>
    <w:tmpl w:val="E528CE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E30E7B"/>
    <w:multiLevelType w:val="hybridMultilevel"/>
    <w:tmpl w:val="BABC539A"/>
    <w:lvl w:ilvl="0" w:tplc="FFFFFFFF">
      <w:start w:val="1"/>
      <w:numFmt w:val="lowerLetter"/>
      <w:lvlText w:val="%1)"/>
      <w:lvlJc w:val="left"/>
      <w:pPr>
        <w:ind w:left="1080" w:hanging="360"/>
      </w:pPr>
    </w:lvl>
    <w:lvl w:ilvl="1" w:tplc="3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D20D2"/>
    <w:multiLevelType w:val="multilevel"/>
    <w:tmpl w:val="BAE2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7640345"/>
    <w:multiLevelType w:val="hybridMultilevel"/>
    <w:tmpl w:val="4F3C41B0"/>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6" w15:restartNumberingAfterBreak="0">
    <w:nsid w:val="77D6188C"/>
    <w:multiLevelType w:val="multilevel"/>
    <w:tmpl w:val="C34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957DB2"/>
    <w:multiLevelType w:val="multilevel"/>
    <w:tmpl w:val="C4D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E124184"/>
    <w:multiLevelType w:val="multilevel"/>
    <w:tmpl w:val="285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69"/>
  </w:num>
  <w:num w:numId="3" w16cid:durableId="2074813254">
    <w:abstractNumId w:val="19"/>
  </w:num>
  <w:num w:numId="4" w16cid:durableId="1502967021">
    <w:abstractNumId w:val="1"/>
  </w:num>
  <w:num w:numId="5" w16cid:durableId="942999798">
    <w:abstractNumId w:val="84"/>
  </w:num>
  <w:num w:numId="6" w16cid:durableId="1575898805">
    <w:abstractNumId w:val="48"/>
  </w:num>
  <w:num w:numId="7" w16cid:durableId="1378318754">
    <w:abstractNumId w:val="55"/>
  </w:num>
  <w:num w:numId="8" w16cid:durableId="580287903">
    <w:abstractNumId w:val="42"/>
  </w:num>
  <w:num w:numId="9" w16cid:durableId="1550872740">
    <w:abstractNumId w:val="65"/>
  </w:num>
  <w:num w:numId="10" w16cid:durableId="1971083369">
    <w:abstractNumId w:val="4"/>
  </w:num>
  <w:num w:numId="11" w16cid:durableId="1221399460">
    <w:abstractNumId w:val="70"/>
  </w:num>
  <w:num w:numId="12" w16cid:durableId="1130344">
    <w:abstractNumId w:val="11"/>
  </w:num>
  <w:num w:numId="13" w16cid:durableId="724571868">
    <w:abstractNumId w:val="2"/>
  </w:num>
  <w:num w:numId="14" w16cid:durableId="273438372">
    <w:abstractNumId w:val="60"/>
    <w:lvlOverride w:ilvl="0">
      <w:lvl w:ilvl="0">
        <w:numFmt w:val="lowerRoman"/>
        <w:lvlText w:val="%1."/>
        <w:lvlJc w:val="right"/>
      </w:lvl>
    </w:lvlOverride>
  </w:num>
  <w:num w:numId="15" w16cid:durableId="1735548128">
    <w:abstractNumId w:val="60"/>
    <w:lvlOverride w:ilvl="0">
      <w:lvl w:ilvl="0">
        <w:numFmt w:val="lowerRoman"/>
        <w:lvlText w:val="%1."/>
        <w:lvlJc w:val="right"/>
      </w:lvl>
    </w:lvlOverride>
  </w:num>
  <w:num w:numId="16" w16cid:durableId="1888104222">
    <w:abstractNumId w:val="60"/>
    <w:lvlOverride w:ilvl="0">
      <w:lvl w:ilvl="0">
        <w:numFmt w:val="lowerRoman"/>
        <w:lvlText w:val="%1."/>
        <w:lvlJc w:val="right"/>
      </w:lvl>
    </w:lvlOverride>
  </w:num>
  <w:num w:numId="17" w16cid:durableId="1586258705">
    <w:abstractNumId w:val="60"/>
    <w:lvlOverride w:ilvl="0">
      <w:lvl w:ilvl="0">
        <w:numFmt w:val="lowerRoman"/>
        <w:lvlText w:val="%1."/>
        <w:lvlJc w:val="right"/>
      </w:lvl>
    </w:lvlOverride>
  </w:num>
  <w:num w:numId="18" w16cid:durableId="1661732417">
    <w:abstractNumId w:val="47"/>
  </w:num>
  <w:num w:numId="19" w16cid:durableId="511378157">
    <w:abstractNumId w:val="13"/>
  </w:num>
  <w:num w:numId="20" w16cid:durableId="121969876">
    <w:abstractNumId w:val="5"/>
  </w:num>
  <w:num w:numId="21" w16cid:durableId="1684628695">
    <w:abstractNumId w:val="64"/>
  </w:num>
  <w:num w:numId="22" w16cid:durableId="1107626459">
    <w:abstractNumId w:val="52"/>
  </w:num>
  <w:num w:numId="23" w16cid:durableId="118770229">
    <w:abstractNumId w:val="85"/>
  </w:num>
  <w:num w:numId="24" w16cid:durableId="177693014">
    <w:abstractNumId w:val="56"/>
  </w:num>
  <w:num w:numId="25" w16cid:durableId="580061562">
    <w:abstractNumId w:val="26"/>
  </w:num>
  <w:num w:numId="26" w16cid:durableId="1366559567">
    <w:abstractNumId w:val="23"/>
  </w:num>
  <w:num w:numId="27" w16cid:durableId="288439127">
    <w:abstractNumId w:val="28"/>
  </w:num>
  <w:num w:numId="28" w16cid:durableId="486632546">
    <w:abstractNumId w:val="14"/>
  </w:num>
  <w:num w:numId="29" w16cid:durableId="331033149">
    <w:abstractNumId w:val="6"/>
  </w:num>
  <w:num w:numId="30" w16cid:durableId="156650898">
    <w:abstractNumId w:val="68"/>
  </w:num>
  <w:num w:numId="31" w16cid:durableId="1188131849">
    <w:abstractNumId w:val="31"/>
  </w:num>
  <w:num w:numId="32" w16cid:durableId="1085417770">
    <w:abstractNumId w:val="49"/>
  </w:num>
  <w:num w:numId="33" w16cid:durableId="1683126352">
    <w:abstractNumId w:val="67"/>
  </w:num>
  <w:num w:numId="34" w16cid:durableId="71051670">
    <w:abstractNumId w:val="12"/>
  </w:num>
  <w:num w:numId="35" w16cid:durableId="385373748">
    <w:abstractNumId w:val="45"/>
  </w:num>
  <w:num w:numId="36" w16cid:durableId="56053006">
    <w:abstractNumId w:val="73"/>
  </w:num>
  <w:num w:numId="37" w16cid:durableId="1519923209">
    <w:abstractNumId w:val="74"/>
  </w:num>
  <w:num w:numId="38" w16cid:durableId="2138062333">
    <w:abstractNumId w:val="44"/>
  </w:num>
  <w:num w:numId="39" w16cid:durableId="407267627">
    <w:abstractNumId w:val="15"/>
  </w:num>
  <w:num w:numId="40" w16cid:durableId="829977268">
    <w:abstractNumId w:val="21"/>
  </w:num>
  <w:num w:numId="41" w16cid:durableId="1835872112">
    <w:abstractNumId w:val="7"/>
  </w:num>
  <w:num w:numId="42" w16cid:durableId="477842735">
    <w:abstractNumId w:val="30"/>
  </w:num>
  <w:num w:numId="43" w16cid:durableId="2017268441">
    <w:abstractNumId w:val="38"/>
  </w:num>
  <w:num w:numId="44" w16cid:durableId="2042123397">
    <w:abstractNumId w:val="43"/>
  </w:num>
  <w:num w:numId="45" w16cid:durableId="1408189321">
    <w:abstractNumId w:val="24"/>
  </w:num>
  <w:num w:numId="46" w16cid:durableId="742795116">
    <w:abstractNumId w:val="80"/>
  </w:num>
  <w:num w:numId="47" w16cid:durableId="1805199098">
    <w:abstractNumId w:val="62"/>
  </w:num>
  <w:num w:numId="48" w16cid:durableId="1170560367">
    <w:abstractNumId w:val="71"/>
  </w:num>
  <w:num w:numId="49" w16cid:durableId="1649163571">
    <w:abstractNumId w:val="40"/>
  </w:num>
  <w:num w:numId="50" w16cid:durableId="1289624069">
    <w:abstractNumId w:val="3"/>
  </w:num>
  <w:num w:numId="51" w16cid:durableId="296692196">
    <w:abstractNumId w:val="57"/>
  </w:num>
  <w:num w:numId="52" w16cid:durableId="1012873967">
    <w:abstractNumId w:val="37"/>
  </w:num>
  <w:num w:numId="53" w16cid:durableId="3015233">
    <w:abstractNumId w:val="32"/>
  </w:num>
  <w:num w:numId="54" w16cid:durableId="447243488">
    <w:abstractNumId w:val="63"/>
  </w:num>
  <w:num w:numId="55" w16cid:durableId="1405761477">
    <w:abstractNumId w:val="27"/>
  </w:num>
  <w:num w:numId="56" w16cid:durableId="2119173600">
    <w:abstractNumId w:val="17"/>
  </w:num>
  <w:num w:numId="57" w16cid:durableId="149638734">
    <w:abstractNumId w:val="72"/>
    <w:lvlOverride w:ilvl="0">
      <w:lvl w:ilvl="0">
        <w:numFmt w:val="lowerRoman"/>
        <w:lvlText w:val="%1."/>
        <w:lvlJc w:val="right"/>
      </w:lvl>
    </w:lvlOverride>
  </w:num>
  <w:num w:numId="58" w16cid:durableId="1112360491">
    <w:abstractNumId w:val="72"/>
    <w:lvlOverride w:ilvl="0">
      <w:lvl w:ilvl="0">
        <w:numFmt w:val="lowerRoman"/>
        <w:lvlText w:val="%1."/>
        <w:lvlJc w:val="right"/>
      </w:lvl>
    </w:lvlOverride>
  </w:num>
  <w:num w:numId="59" w16cid:durableId="792018799">
    <w:abstractNumId w:val="72"/>
    <w:lvlOverride w:ilvl="0">
      <w:lvl w:ilvl="0">
        <w:numFmt w:val="lowerRoman"/>
        <w:lvlText w:val="%1."/>
        <w:lvlJc w:val="right"/>
      </w:lvl>
    </w:lvlOverride>
  </w:num>
  <w:num w:numId="60" w16cid:durableId="257375012">
    <w:abstractNumId w:val="72"/>
    <w:lvlOverride w:ilvl="0">
      <w:lvl w:ilvl="0">
        <w:numFmt w:val="lowerRoman"/>
        <w:lvlText w:val="%1."/>
        <w:lvlJc w:val="right"/>
      </w:lvl>
    </w:lvlOverride>
  </w:num>
  <w:num w:numId="61" w16cid:durableId="1338727997">
    <w:abstractNumId w:val="82"/>
    <w:lvlOverride w:ilvl="0">
      <w:lvl w:ilvl="0">
        <w:numFmt w:val="lowerRoman"/>
        <w:lvlText w:val="%1."/>
        <w:lvlJc w:val="right"/>
      </w:lvl>
    </w:lvlOverride>
  </w:num>
  <w:num w:numId="62" w16cid:durableId="1764297162">
    <w:abstractNumId w:val="82"/>
    <w:lvlOverride w:ilvl="0">
      <w:lvl w:ilvl="0">
        <w:numFmt w:val="lowerRoman"/>
        <w:lvlText w:val="%1."/>
        <w:lvlJc w:val="right"/>
      </w:lvl>
    </w:lvlOverride>
  </w:num>
  <w:num w:numId="63" w16cid:durableId="458229535">
    <w:abstractNumId w:val="82"/>
    <w:lvlOverride w:ilvl="0">
      <w:lvl w:ilvl="0">
        <w:numFmt w:val="lowerRoman"/>
        <w:lvlText w:val="%1."/>
        <w:lvlJc w:val="right"/>
      </w:lvl>
    </w:lvlOverride>
  </w:num>
  <w:num w:numId="64" w16cid:durableId="680158346">
    <w:abstractNumId w:val="29"/>
  </w:num>
  <w:num w:numId="65" w16cid:durableId="1208378405">
    <w:abstractNumId w:val="36"/>
  </w:num>
  <w:num w:numId="66" w16cid:durableId="1911427373">
    <w:abstractNumId w:val="25"/>
  </w:num>
  <w:num w:numId="67" w16cid:durableId="1210724490">
    <w:abstractNumId w:val="8"/>
    <w:lvlOverride w:ilvl="0">
      <w:lvl w:ilvl="0">
        <w:numFmt w:val="lowerRoman"/>
        <w:lvlText w:val="%1."/>
        <w:lvlJc w:val="right"/>
      </w:lvl>
    </w:lvlOverride>
  </w:num>
  <w:num w:numId="68" w16cid:durableId="904487813">
    <w:abstractNumId w:val="8"/>
    <w:lvlOverride w:ilvl="0">
      <w:lvl w:ilvl="0">
        <w:numFmt w:val="lowerRoman"/>
        <w:lvlText w:val="%1."/>
        <w:lvlJc w:val="right"/>
      </w:lvl>
    </w:lvlOverride>
  </w:num>
  <w:num w:numId="69" w16cid:durableId="1459299140">
    <w:abstractNumId w:val="8"/>
    <w:lvlOverride w:ilvl="0">
      <w:lvl w:ilvl="0">
        <w:numFmt w:val="lowerRoman"/>
        <w:lvlText w:val="%1."/>
        <w:lvlJc w:val="right"/>
      </w:lvl>
    </w:lvlOverride>
  </w:num>
  <w:num w:numId="70" w16cid:durableId="1944070059">
    <w:abstractNumId w:val="8"/>
    <w:lvlOverride w:ilvl="0">
      <w:lvl w:ilvl="0">
        <w:numFmt w:val="lowerRoman"/>
        <w:lvlText w:val="%1."/>
        <w:lvlJc w:val="right"/>
      </w:lvl>
    </w:lvlOverride>
  </w:num>
  <w:num w:numId="71" w16cid:durableId="1763526071">
    <w:abstractNumId w:val="53"/>
    <w:lvlOverride w:ilvl="0">
      <w:lvl w:ilvl="0">
        <w:numFmt w:val="lowerRoman"/>
        <w:lvlText w:val="%1."/>
        <w:lvlJc w:val="right"/>
      </w:lvl>
    </w:lvlOverride>
  </w:num>
  <w:num w:numId="72" w16cid:durableId="800608255">
    <w:abstractNumId w:val="33"/>
  </w:num>
  <w:num w:numId="73" w16cid:durableId="1138492833">
    <w:abstractNumId w:val="20"/>
  </w:num>
  <w:num w:numId="74" w16cid:durableId="626354228">
    <w:abstractNumId w:val="66"/>
  </w:num>
  <w:num w:numId="75" w16cid:durableId="2005086676">
    <w:abstractNumId w:val="39"/>
  </w:num>
  <w:num w:numId="76" w16cid:durableId="1774740799">
    <w:abstractNumId w:val="58"/>
    <w:lvlOverride w:ilvl="0">
      <w:lvl w:ilvl="0">
        <w:numFmt w:val="lowerRoman"/>
        <w:lvlText w:val="%1."/>
        <w:lvlJc w:val="right"/>
      </w:lvl>
    </w:lvlOverride>
  </w:num>
  <w:num w:numId="77" w16cid:durableId="223420510">
    <w:abstractNumId w:val="58"/>
    <w:lvlOverride w:ilvl="0">
      <w:lvl w:ilvl="0">
        <w:numFmt w:val="lowerRoman"/>
        <w:lvlText w:val="%1."/>
        <w:lvlJc w:val="right"/>
      </w:lvl>
    </w:lvlOverride>
  </w:num>
  <w:num w:numId="78" w16cid:durableId="839153515">
    <w:abstractNumId w:val="58"/>
    <w:lvlOverride w:ilvl="0">
      <w:lvl w:ilvl="0">
        <w:numFmt w:val="lowerRoman"/>
        <w:lvlText w:val="%1."/>
        <w:lvlJc w:val="right"/>
      </w:lvl>
    </w:lvlOverride>
  </w:num>
  <w:num w:numId="79" w16cid:durableId="722407399">
    <w:abstractNumId w:val="58"/>
    <w:lvlOverride w:ilvl="0">
      <w:lvl w:ilvl="0">
        <w:numFmt w:val="lowerRoman"/>
        <w:lvlText w:val="%1."/>
        <w:lvlJc w:val="right"/>
      </w:lvl>
    </w:lvlOverride>
  </w:num>
  <w:num w:numId="80" w16cid:durableId="255789691">
    <w:abstractNumId w:val="58"/>
    <w:lvlOverride w:ilvl="0">
      <w:lvl w:ilvl="0">
        <w:numFmt w:val="lowerRoman"/>
        <w:lvlText w:val="%1."/>
        <w:lvlJc w:val="right"/>
      </w:lvl>
    </w:lvlOverride>
  </w:num>
  <w:num w:numId="81" w16cid:durableId="934706887">
    <w:abstractNumId w:val="58"/>
    <w:lvlOverride w:ilvl="0">
      <w:lvl w:ilvl="0">
        <w:numFmt w:val="lowerRoman"/>
        <w:lvlText w:val="%1."/>
        <w:lvlJc w:val="right"/>
      </w:lvl>
    </w:lvlOverride>
  </w:num>
  <w:num w:numId="82" w16cid:durableId="2088069425">
    <w:abstractNumId w:val="35"/>
  </w:num>
  <w:num w:numId="83" w16cid:durableId="2144737918">
    <w:abstractNumId w:val="10"/>
  </w:num>
  <w:num w:numId="84" w16cid:durableId="1510943299">
    <w:abstractNumId w:val="9"/>
  </w:num>
  <w:num w:numId="85" w16cid:durableId="243144755">
    <w:abstractNumId w:val="77"/>
  </w:num>
  <w:num w:numId="86" w16cid:durableId="658535919">
    <w:abstractNumId w:val="50"/>
  </w:num>
  <w:num w:numId="87" w16cid:durableId="627860502">
    <w:abstractNumId w:val="46"/>
  </w:num>
  <w:num w:numId="88" w16cid:durableId="1460219467">
    <w:abstractNumId w:val="79"/>
  </w:num>
  <w:num w:numId="89" w16cid:durableId="1700816488">
    <w:abstractNumId w:val="51"/>
  </w:num>
  <w:num w:numId="90" w16cid:durableId="211575541">
    <w:abstractNumId w:val="83"/>
  </w:num>
  <w:num w:numId="91" w16cid:durableId="1139155985">
    <w:abstractNumId w:val="16"/>
  </w:num>
  <w:num w:numId="92" w16cid:durableId="681787406">
    <w:abstractNumId w:val="34"/>
  </w:num>
  <w:num w:numId="93" w16cid:durableId="634945270">
    <w:abstractNumId w:val="81"/>
  </w:num>
  <w:num w:numId="94" w16cid:durableId="169178564">
    <w:abstractNumId w:val="76"/>
  </w:num>
  <w:num w:numId="95" w16cid:durableId="661468875">
    <w:abstractNumId w:val="41"/>
    <w:lvlOverride w:ilvl="0">
      <w:lvl w:ilvl="0">
        <w:numFmt w:val="lowerRoman"/>
        <w:lvlText w:val="%1."/>
        <w:lvlJc w:val="right"/>
      </w:lvl>
    </w:lvlOverride>
  </w:num>
  <w:num w:numId="96" w16cid:durableId="901020883">
    <w:abstractNumId w:val="41"/>
    <w:lvlOverride w:ilvl="0">
      <w:lvl w:ilvl="0">
        <w:numFmt w:val="lowerRoman"/>
        <w:lvlText w:val="%1."/>
        <w:lvlJc w:val="right"/>
      </w:lvl>
    </w:lvlOverride>
  </w:num>
  <w:num w:numId="97" w16cid:durableId="169297721">
    <w:abstractNumId w:val="41"/>
    <w:lvlOverride w:ilvl="0">
      <w:lvl w:ilvl="0">
        <w:numFmt w:val="lowerRoman"/>
        <w:lvlText w:val="%1."/>
        <w:lvlJc w:val="right"/>
      </w:lvl>
    </w:lvlOverride>
  </w:num>
  <w:num w:numId="98" w16cid:durableId="458499617">
    <w:abstractNumId w:val="0"/>
  </w:num>
  <w:num w:numId="99" w16cid:durableId="1325620188">
    <w:abstractNumId w:val="54"/>
  </w:num>
  <w:num w:numId="100" w16cid:durableId="1622346088">
    <w:abstractNumId w:val="61"/>
  </w:num>
  <w:num w:numId="101" w16cid:durableId="2116753559">
    <w:abstractNumId w:val="78"/>
  </w:num>
  <w:num w:numId="102" w16cid:durableId="357391315">
    <w:abstractNumId w:val="22"/>
  </w:num>
  <w:num w:numId="103" w16cid:durableId="2106534018">
    <w:abstractNumId w:val="22"/>
    <w:lvlOverride w:ilvl="1">
      <w:lvl w:ilvl="1">
        <w:numFmt w:val="lowerRoman"/>
        <w:lvlText w:val="%2."/>
        <w:lvlJc w:val="right"/>
      </w:lvl>
    </w:lvlOverride>
  </w:num>
  <w:num w:numId="104" w16cid:durableId="1807818567">
    <w:abstractNumId w:val="22"/>
    <w:lvlOverride w:ilvl="1">
      <w:lvl w:ilvl="1">
        <w:numFmt w:val="lowerRoman"/>
        <w:lvlText w:val="%2."/>
        <w:lvlJc w:val="right"/>
      </w:lvl>
    </w:lvlOverride>
  </w:num>
  <w:num w:numId="105" w16cid:durableId="731775849">
    <w:abstractNumId w:val="75"/>
  </w:num>
  <w:num w:numId="106" w16cid:durableId="1045521079">
    <w:abstractNumId w:val="59"/>
  </w:num>
  <w:num w:numId="107" w16cid:durableId="13666404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0571"/>
    <w:rsid w:val="00002241"/>
    <w:rsid w:val="000037AF"/>
    <w:rsid w:val="00004159"/>
    <w:rsid w:val="00004353"/>
    <w:rsid w:val="00004975"/>
    <w:rsid w:val="00004DDE"/>
    <w:rsid w:val="0000501F"/>
    <w:rsid w:val="00010A36"/>
    <w:rsid w:val="0001139B"/>
    <w:rsid w:val="00011D2F"/>
    <w:rsid w:val="00014692"/>
    <w:rsid w:val="00016D29"/>
    <w:rsid w:val="000205CC"/>
    <w:rsid w:val="000221A7"/>
    <w:rsid w:val="00022921"/>
    <w:rsid w:val="00022F38"/>
    <w:rsid w:val="00023079"/>
    <w:rsid w:val="00023129"/>
    <w:rsid w:val="000243D9"/>
    <w:rsid w:val="000245FF"/>
    <w:rsid w:val="000252D0"/>
    <w:rsid w:val="00025A76"/>
    <w:rsid w:val="00030E34"/>
    <w:rsid w:val="000311B9"/>
    <w:rsid w:val="000318E6"/>
    <w:rsid w:val="0003348A"/>
    <w:rsid w:val="00034A74"/>
    <w:rsid w:val="00034B85"/>
    <w:rsid w:val="00035967"/>
    <w:rsid w:val="000404A8"/>
    <w:rsid w:val="00040964"/>
    <w:rsid w:val="00041ED0"/>
    <w:rsid w:val="00041F71"/>
    <w:rsid w:val="00044C25"/>
    <w:rsid w:val="000450EC"/>
    <w:rsid w:val="000459A0"/>
    <w:rsid w:val="00050C83"/>
    <w:rsid w:val="00055654"/>
    <w:rsid w:val="00055719"/>
    <w:rsid w:val="00055C12"/>
    <w:rsid w:val="000608FB"/>
    <w:rsid w:val="00060904"/>
    <w:rsid w:val="00060C8D"/>
    <w:rsid w:val="0006256F"/>
    <w:rsid w:val="00062599"/>
    <w:rsid w:val="00063802"/>
    <w:rsid w:val="00065B71"/>
    <w:rsid w:val="0007026A"/>
    <w:rsid w:val="000721F8"/>
    <w:rsid w:val="00072A04"/>
    <w:rsid w:val="00072E0C"/>
    <w:rsid w:val="00073B16"/>
    <w:rsid w:val="00073F4D"/>
    <w:rsid w:val="00080AA7"/>
    <w:rsid w:val="00082886"/>
    <w:rsid w:val="00082E37"/>
    <w:rsid w:val="00083F90"/>
    <w:rsid w:val="000840D4"/>
    <w:rsid w:val="000872BC"/>
    <w:rsid w:val="000903A8"/>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97"/>
    <w:rsid w:val="000B75FA"/>
    <w:rsid w:val="000B7A07"/>
    <w:rsid w:val="000B7BE4"/>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27F4"/>
    <w:rsid w:val="0011342C"/>
    <w:rsid w:val="00114473"/>
    <w:rsid w:val="001148B5"/>
    <w:rsid w:val="001160B1"/>
    <w:rsid w:val="00116C8F"/>
    <w:rsid w:val="001170F1"/>
    <w:rsid w:val="00117E40"/>
    <w:rsid w:val="0012457E"/>
    <w:rsid w:val="00124B84"/>
    <w:rsid w:val="00130ECC"/>
    <w:rsid w:val="001322E7"/>
    <w:rsid w:val="00132E57"/>
    <w:rsid w:val="00132F7F"/>
    <w:rsid w:val="00132F89"/>
    <w:rsid w:val="00135FD4"/>
    <w:rsid w:val="00137CD3"/>
    <w:rsid w:val="00141D4A"/>
    <w:rsid w:val="00142600"/>
    <w:rsid w:val="00143AC9"/>
    <w:rsid w:val="00144233"/>
    <w:rsid w:val="001443C3"/>
    <w:rsid w:val="00144837"/>
    <w:rsid w:val="001457E5"/>
    <w:rsid w:val="0014794A"/>
    <w:rsid w:val="00151E19"/>
    <w:rsid w:val="0015318A"/>
    <w:rsid w:val="001537E2"/>
    <w:rsid w:val="00156B48"/>
    <w:rsid w:val="00162C5D"/>
    <w:rsid w:val="00162CA5"/>
    <w:rsid w:val="00163B8D"/>
    <w:rsid w:val="00164197"/>
    <w:rsid w:val="001648C1"/>
    <w:rsid w:val="001653EC"/>
    <w:rsid w:val="00166B91"/>
    <w:rsid w:val="001677A7"/>
    <w:rsid w:val="00174299"/>
    <w:rsid w:val="001754E8"/>
    <w:rsid w:val="0017603A"/>
    <w:rsid w:val="0017636E"/>
    <w:rsid w:val="00176578"/>
    <w:rsid w:val="00176FE0"/>
    <w:rsid w:val="00177462"/>
    <w:rsid w:val="001815E2"/>
    <w:rsid w:val="00181D1E"/>
    <w:rsid w:val="00182A62"/>
    <w:rsid w:val="00183CF7"/>
    <w:rsid w:val="001840A3"/>
    <w:rsid w:val="00185130"/>
    <w:rsid w:val="00185A3C"/>
    <w:rsid w:val="001919D6"/>
    <w:rsid w:val="00192502"/>
    <w:rsid w:val="00193F55"/>
    <w:rsid w:val="00195080"/>
    <w:rsid w:val="0019610D"/>
    <w:rsid w:val="00197AC0"/>
    <w:rsid w:val="001A35D1"/>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C79AD"/>
    <w:rsid w:val="001D1F61"/>
    <w:rsid w:val="001D2EED"/>
    <w:rsid w:val="001D3C2C"/>
    <w:rsid w:val="001D433D"/>
    <w:rsid w:val="001D69A4"/>
    <w:rsid w:val="001D759C"/>
    <w:rsid w:val="001E0B8C"/>
    <w:rsid w:val="001E40E0"/>
    <w:rsid w:val="001E561C"/>
    <w:rsid w:val="001F05C7"/>
    <w:rsid w:val="001F2BEF"/>
    <w:rsid w:val="001F734C"/>
    <w:rsid w:val="001F7BAD"/>
    <w:rsid w:val="0020028D"/>
    <w:rsid w:val="00201D41"/>
    <w:rsid w:val="00203814"/>
    <w:rsid w:val="00205373"/>
    <w:rsid w:val="00205B49"/>
    <w:rsid w:val="00206AD5"/>
    <w:rsid w:val="00210222"/>
    <w:rsid w:val="00210A6E"/>
    <w:rsid w:val="00212FC9"/>
    <w:rsid w:val="00213254"/>
    <w:rsid w:val="00213925"/>
    <w:rsid w:val="0022163F"/>
    <w:rsid w:val="002217D5"/>
    <w:rsid w:val="00225D41"/>
    <w:rsid w:val="00225D66"/>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2BED"/>
    <w:rsid w:val="0029357B"/>
    <w:rsid w:val="0029414A"/>
    <w:rsid w:val="00295227"/>
    <w:rsid w:val="00296AD5"/>
    <w:rsid w:val="00296E37"/>
    <w:rsid w:val="00296FE8"/>
    <w:rsid w:val="002A2D50"/>
    <w:rsid w:val="002A32F6"/>
    <w:rsid w:val="002A746A"/>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C66C4"/>
    <w:rsid w:val="002D0A6A"/>
    <w:rsid w:val="002D1B99"/>
    <w:rsid w:val="002D1D6F"/>
    <w:rsid w:val="002D2765"/>
    <w:rsid w:val="002D2AC7"/>
    <w:rsid w:val="002D2C05"/>
    <w:rsid w:val="002D2DF9"/>
    <w:rsid w:val="002D333A"/>
    <w:rsid w:val="002D5B01"/>
    <w:rsid w:val="002E1A3C"/>
    <w:rsid w:val="002E7A20"/>
    <w:rsid w:val="002F07B3"/>
    <w:rsid w:val="002F341C"/>
    <w:rsid w:val="003011AF"/>
    <w:rsid w:val="003021A2"/>
    <w:rsid w:val="00302E27"/>
    <w:rsid w:val="0030374A"/>
    <w:rsid w:val="00306D8B"/>
    <w:rsid w:val="0030750F"/>
    <w:rsid w:val="003075EE"/>
    <w:rsid w:val="00310191"/>
    <w:rsid w:val="00311298"/>
    <w:rsid w:val="003117E7"/>
    <w:rsid w:val="0031285F"/>
    <w:rsid w:val="003147D3"/>
    <w:rsid w:val="00315B15"/>
    <w:rsid w:val="00315BDB"/>
    <w:rsid w:val="00320589"/>
    <w:rsid w:val="00320830"/>
    <w:rsid w:val="00322A98"/>
    <w:rsid w:val="00323616"/>
    <w:rsid w:val="00324146"/>
    <w:rsid w:val="0032574F"/>
    <w:rsid w:val="00325B5E"/>
    <w:rsid w:val="00326577"/>
    <w:rsid w:val="00326775"/>
    <w:rsid w:val="00326E11"/>
    <w:rsid w:val="0032739D"/>
    <w:rsid w:val="00330B43"/>
    <w:rsid w:val="00331D06"/>
    <w:rsid w:val="00334A4B"/>
    <w:rsid w:val="00334C0E"/>
    <w:rsid w:val="00335AAA"/>
    <w:rsid w:val="00341CE8"/>
    <w:rsid w:val="00345C17"/>
    <w:rsid w:val="00345CE5"/>
    <w:rsid w:val="0034749E"/>
    <w:rsid w:val="00350648"/>
    <w:rsid w:val="00351DD0"/>
    <w:rsid w:val="00352D36"/>
    <w:rsid w:val="00353DF2"/>
    <w:rsid w:val="003544A2"/>
    <w:rsid w:val="003559DC"/>
    <w:rsid w:val="00356410"/>
    <w:rsid w:val="00360DAA"/>
    <w:rsid w:val="00361261"/>
    <w:rsid w:val="00361C38"/>
    <w:rsid w:val="0036471E"/>
    <w:rsid w:val="003674F4"/>
    <w:rsid w:val="00367EF8"/>
    <w:rsid w:val="00367FBF"/>
    <w:rsid w:val="0037029A"/>
    <w:rsid w:val="0037118C"/>
    <w:rsid w:val="00371761"/>
    <w:rsid w:val="003722E2"/>
    <w:rsid w:val="00372AAA"/>
    <w:rsid w:val="00372AF8"/>
    <w:rsid w:val="003738D0"/>
    <w:rsid w:val="00373A7A"/>
    <w:rsid w:val="00374E68"/>
    <w:rsid w:val="00375C3C"/>
    <w:rsid w:val="00376E45"/>
    <w:rsid w:val="00382C5D"/>
    <w:rsid w:val="00382F0D"/>
    <w:rsid w:val="00384B64"/>
    <w:rsid w:val="0038619E"/>
    <w:rsid w:val="0038748F"/>
    <w:rsid w:val="0039062D"/>
    <w:rsid w:val="00395C76"/>
    <w:rsid w:val="003975E2"/>
    <w:rsid w:val="003A3351"/>
    <w:rsid w:val="003A6BC6"/>
    <w:rsid w:val="003A6FE2"/>
    <w:rsid w:val="003B05D8"/>
    <w:rsid w:val="003B1868"/>
    <w:rsid w:val="003B361E"/>
    <w:rsid w:val="003B37EB"/>
    <w:rsid w:val="003B403A"/>
    <w:rsid w:val="003C073B"/>
    <w:rsid w:val="003C2113"/>
    <w:rsid w:val="003C28EF"/>
    <w:rsid w:val="003C4246"/>
    <w:rsid w:val="003C657E"/>
    <w:rsid w:val="003C69BB"/>
    <w:rsid w:val="003C72FA"/>
    <w:rsid w:val="003C752D"/>
    <w:rsid w:val="003D1B86"/>
    <w:rsid w:val="003D4509"/>
    <w:rsid w:val="003D49C2"/>
    <w:rsid w:val="003D4A38"/>
    <w:rsid w:val="003D6978"/>
    <w:rsid w:val="003D7262"/>
    <w:rsid w:val="003E0C0A"/>
    <w:rsid w:val="003E143E"/>
    <w:rsid w:val="003E171D"/>
    <w:rsid w:val="003E3904"/>
    <w:rsid w:val="003E435C"/>
    <w:rsid w:val="003E4E5F"/>
    <w:rsid w:val="003E506E"/>
    <w:rsid w:val="003E5B64"/>
    <w:rsid w:val="003E5FAD"/>
    <w:rsid w:val="003E6057"/>
    <w:rsid w:val="003F0BC2"/>
    <w:rsid w:val="003F1315"/>
    <w:rsid w:val="003F1DD6"/>
    <w:rsid w:val="003F243C"/>
    <w:rsid w:val="003F35A0"/>
    <w:rsid w:val="003F406B"/>
    <w:rsid w:val="003F6804"/>
    <w:rsid w:val="003F7838"/>
    <w:rsid w:val="00400A92"/>
    <w:rsid w:val="004012DD"/>
    <w:rsid w:val="00407E79"/>
    <w:rsid w:val="00410EAB"/>
    <w:rsid w:val="00411C90"/>
    <w:rsid w:val="004122E6"/>
    <w:rsid w:val="0041236D"/>
    <w:rsid w:val="00414610"/>
    <w:rsid w:val="00415A64"/>
    <w:rsid w:val="0041649A"/>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2033"/>
    <w:rsid w:val="0043401D"/>
    <w:rsid w:val="00440235"/>
    <w:rsid w:val="004405A2"/>
    <w:rsid w:val="00441C4B"/>
    <w:rsid w:val="004423ED"/>
    <w:rsid w:val="004438A0"/>
    <w:rsid w:val="00443A1E"/>
    <w:rsid w:val="00443DE5"/>
    <w:rsid w:val="00444DFC"/>
    <w:rsid w:val="004504E2"/>
    <w:rsid w:val="00454BBF"/>
    <w:rsid w:val="004572B8"/>
    <w:rsid w:val="0046039B"/>
    <w:rsid w:val="0046163B"/>
    <w:rsid w:val="00462C6E"/>
    <w:rsid w:val="00462F3E"/>
    <w:rsid w:val="00464006"/>
    <w:rsid w:val="00465552"/>
    <w:rsid w:val="0046627E"/>
    <w:rsid w:val="00470871"/>
    <w:rsid w:val="00470D54"/>
    <w:rsid w:val="00471205"/>
    <w:rsid w:val="00471EF8"/>
    <w:rsid w:val="0047212F"/>
    <w:rsid w:val="00472670"/>
    <w:rsid w:val="0047346A"/>
    <w:rsid w:val="0047375F"/>
    <w:rsid w:val="00475905"/>
    <w:rsid w:val="0048023C"/>
    <w:rsid w:val="00481ECD"/>
    <w:rsid w:val="00482924"/>
    <w:rsid w:val="00483DC8"/>
    <w:rsid w:val="0048479C"/>
    <w:rsid w:val="0048480D"/>
    <w:rsid w:val="004924EF"/>
    <w:rsid w:val="004946F9"/>
    <w:rsid w:val="00495BED"/>
    <w:rsid w:val="00496C17"/>
    <w:rsid w:val="00497863"/>
    <w:rsid w:val="004A0485"/>
    <w:rsid w:val="004A053C"/>
    <w:rsid w:val="004A09E5"/>
    <w:rsid w:val="004A3F4B"/>
    <w:rsid w:val="004A6791"/>
    <w:rsid w:val="004B0F4E"/>
    <w:rsid w:val="004B138A"/>
    <w:rsid w:val="004B314B"/>
    <w:rsid w:val="004B3DBB"/>
    <w:rsid w:val="004B47A5"/>
    <w:rsid w:val="004B5FED"/>
    <w:rsid w:val="004B6C70"/>
    <w:rsid w:val="004C1292"/>
    <w:rsid w:val="004C48C4"/>
    <w:rsid w:val="004C4B5A"/>
    <w:rsid w:val="004C776C"/>
    <w:rsid w:val="004C7F1B"/>
    <w:rsid w:val="004D07A5"/>
    <w:rsid w:val="004D07BA"/>
    <w:rsid w:val="004D1A51"/>
    <w:rsid w:val="004D4DC9"/>
    <w:rsid w:val="004D4E1B"/>
    <w:rsid w:val="004D779B"/>
    <w:rsid w:val="004E2234"/>
    <w:rsid w:val="004E2290"/>
    <w:rsid w:val="004E264B"/>
    <w:rsid w:val="004E3EB7"/>
    <w:rsid w:val="004E5C99"/>
    <w:rsid w:val="004E74DA"/>
    <w:rsid w:val="004E7B8C"/>
    <w:rsid w:val="004F2F6A"/>
    <w:rsid w:val="004F56B3"/>
    <w:rsid w:val="004F5F6B"/>
    <w:rsid w:val="004F607E"/>
    <w:rsid w:val="00500E0C"/>
    <w:rsid w:val="00501064"/>
    <w:rsid w:val="00501590"/>
    <w:rsid w:val="00503444"/>
    <w:rsid w:val="00510408"/>
    <w:rsid w:val="005131E6"/>
    <w:rsid w:val="00515249"/>
    <w:rsid w:val="00515888"/>
    <w:rsid w:val="0051660B"/>
    <w:rsid w:val="00517014"/>
    <w:rsid w:val="005219C4"/>
    <w:rsid w:val="00523D35"/>
    <w:rsid w:val="005243B6"/>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1FF0"/>
    <w:rsid w:val="00563E48"/>
    <w:rsid w:val="00566697"/>
    <w:rsid w:val="00566E89"/>
    <w:rsid w:val="00567B42"/>
    <w:rsid w:val="00567CFD"/>
    <w:rsid w:val="00570EF9"/>
    <w:rsid w:val="00571B18"/>
    <w:rsid w:val="00574108"/>
    <w:rsid w:val="005767A3"/>
    <w:rsid w:val="00577B18"/>
    <w:rsid w:val="005812C1"/>
    <w:rsid w:val="00584A57"/>
    <w:rsid w:val="00585DF9"/>
    <w:rsid w:val="0058673C"/>
    <w:rsid w:val="00586B3B"/>
    <w:rsid w:val="00590C3B"/>
    <w:rsid w:val="00593598"/>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B6A29"/>
    <w:rsid w:val="005C0830"/>
    <w:rsid w:val="005C305E"/>
    <w:rsid w:val="005C4CAB"/>
    <w:rsid w:val="005C6088"/>
    <w:rsid w:val="005C68ED"/>
    <w:rsid w:val="005C7B51"/>
    <w:rsid w:val="005C7CD4"/>
    <w:rsid w:val="005D3A14"/>
    <w:rsid w:val="005D5895"/>
    <w:rsid w:val="005D6CB4"/>
    <w:rsid w:val="005E09D5"/>
    <w:rsid w:val="005E0B58"/>
    <w:rsid w:val="005E0DFB"/>
    <w:rsid w:val="005E12BF"/>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03CDC"/>
    <w:rsid w:val="0060489D"/>
    <w:rsid w:val="0060698D"/>
    <w:rsid w:val="006138EE"/>
    <w:rsid w:val="0061395A"/>
    <w:rsid w:val="00614F5E"/>
    <w:rsid w:val="00615365"/>
    <w:rsid w:val="00615AAB"/>
    <w:rsid w:val="00617649"/>
    <w:rsid w:val="00617A0B"/>
    <w:rsid w:val="00617E88"/>
    <w:rsid w:val="00620742"/>
    <w:rsid w:val="00622603"/>
    <w:rsid w:val="0062328A"/>
    <w:rsid w:val="00624084"/>
    <w:rsid w:val="006251E2"/>
    <w:rsid w:val="00626712"/>
    <w:rsid w:val="006268BF"/>
    <w:rsid w:val="00626BF5"/>
    <w:rsid w:val="00631E57"/>
    <w:rsid w:val="006330E5"/>
    <w:rsid w:val="006335B8"/>
    <w:rsid w:val="006337A3"/>
    <w:rsid w:val="00634252"/>
    <w:rsid w:val="006356FA"/>
    <w:rsid w:val="00643EFA"/>
    <w:rsid w:val="006449FF"/>
    <w:rsid w:val="00651062"/>
    <w:rsid w:val="00654900"/>
    <w:rsid w:val="00654FDF"/>
    <w:rsid w:val="006558BA"/>
    <w:rsid w:val="00661EE8"/>
    <w:rsid w:val="006626DD"/>
    <w:rsid w:val="00663C92"/>
    <w:rsid w:val="006649A1"/>
    <w:rsid w:val="006651F8"/>
    <w:rsid w:val="00665A32"/>
    <w:rsid w:val="00665B23"/>
    <w:rsid w:val="00665E8D"/>
    <w:rsid w:val="00667A59"/>
    <w:rsid w:val="00671565"/>
    <w:rsid w:val="00671AC9"/>
    <w:rsid w:val="00672951"/>
    <w:rsid w:val="00674EFD"/>
    <w:rsid w:val="006751D0"/>
    <w:rsid w:val="0067664F"/>
    <w:rsid w:val="006767DA"/>
    <w:rsid w:val="00677DDF"/>
    <w:rsid w:val="0068040C"/>
    <w:rsid w:val="0068083B"/>
    <w:rsid w:val="00680D15"/>
    <w:rsid w:val="0068511F"/>
    <w:rsid w:val="00685D1A"/>
    <w:rsid w:val="006874F7"/>
    <w:rsid w:val="0069020B"/>
    <w:rsid w:val="0069188A"/>
    <w:rsid w:val="00692759"/>
    <w:rsid w:val="00692F85"/>
    <w:rsid w:val="00693847"/>
    <w:rsid w:val="00694B81"/>
    <w:rsid w:val="0069525B"/>
    <w:rsid w:val="00696B41"/>
    <w:rsid w:val="00697895"/>
    <w:rsid w:val="00697EAE"/>
    <w:rsid w:val="006A3EB2"/>
    <w:rsid w:val="006A45BA"/>
    <w:rsid w:val="006A7BB6"/>
    <w:rsid w:val="006B10B2"/>
    <w:rsid w:val="006B14E6"/>
    <w:rsid w:val="006B4E27"/>
    <w:rsid w:val="006B502D"/>
    <w:rsid w:val="006B565C"/>
    <w:rsid w:val="006B5A8C"/>
    <w:rsid w:val="006C0CAD"/>
    <w:rsid w:val="006C1A1B"/>
    <w:rsid w:val="006D01BA"/>
    <w:rsid w:val="006D21CE"/>
    <w:rsid w:val="006D3933"/>
    <w:rsid w:val="006D3BF8"/>
    <w:rsid w:val="006D3E34"/>
    <w:rsid w:val="006D45D7"/>
    <w:rsid w:val="006D4C8B"/>
    <w:rsid w:val="006D5B2D"/>
    <w:rsid w:val="006D5EE2"/>
    <w:rsid w:val="006E28E0"/>
    <w:rsid w:val="006E2CEC"/>
    <w:rsid w:val="006E3069"/>
    <w:rsid w:val="006F0CFA"/>
    <w:rsid w:val="006F1F09"/>
    <w:rsid w:val="006F32D4"/>
    <w:rsid w:val="006F3B2D"/>
    <w:rsid w:val="006F4495"/>
    <w:rsid w:val="006F63DF"/>
    <w:rsid w:val="006F651E"/>
    <w:rsid w:val="006F6833"/>
    <w:rsid w:val="006F6A24"/>
    <w:rsid w:val="006F764A"/>
    <w:rsid w:val="006F77AF"/>
    <w:rsid w:val="006F7B8A"/>
    <w:rsid w:val="00701449"/>
    <w:rsid w:val="00702E8C"/>
    <w:rsid w:val="007037B2"/>
    <w:rsid w:val="00704CA9"/>
    <w:rsid w:val="00704E39"/>
    <w:rsid w:val="00704ED6"/>
    <w:rsid w:val="007068A3"/>
    <w:rsid w:val="00707E10"/>
    <w:rsid w:val="00710CC1"/>
    <w:rsid w:val="00711EC0"/>
    <w:rsid w:val="00712161"/>
    <w:rsid w:val="00713629"/>
    <w:rsid w:val="007157D9"/>
    <w:rsid w:val="00716611"/>
    <w:rsid w:val="00721CD5"/>
    <w:rsid w:val="00723348"/>
    <w:rsid w:val="00723F71"/>
    <w:rsid w:val="007251EB"/>
    <w:rsid w:val="00725E79"/>
    <w:rsid w:val="00726434"/>
    <w:rsid w:val="0072666A"/>
    <w:rsid w:val="00730BF8"/>
    <w:rsid w:val="00730C89"/>
    <w:rsid w:val="00730FD1"/>
    <w:rsid w:val="00731526"/>
    <w:rsid w:val="00732246"/>
    <w:rsid w:val="007335F0"/>
    <w:rsid w:val="00733D25"/>
    <w:rsid w:val="00734CB4"/>
    <w:rsid w:val="00737AD6"/>
    <w:rsid w:val="0074143E"/>
    <w:rsid w:val="00742C26"/>
    <w:rsid w:val="007458E4"/>
    <w:rsid w:val="007506FC"/>
    <w:rsid w:val="00751385"/>
    <w:rsid w:val="00753C81"/>
    <w:rsid w:val="0075426B"/>
    <w:rsid w:val="00755552"/>
    <w:rsid w:val="00757D77"/>
    <w:rsid w:val="00762267"/>
    <w:rsid w:val="007623D6"/>
    <w:rsid w:val="00762B35"/>
    <w:rsid w:val="00762C57"/>
    <w:rsid w:val="007641F6"/>
    <w:rsid w:val="0076436F"/>
    <w:rsid w:val="007645BD"/>
    <w:rsid w:val="00764A70"/>
    <w:rsid w:val="0076729A"/>
    <w:rsid w:val="00767321"/>
    <w:rsid w:val="00767DDF"/>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68ED"/>
    <w:rsid w:val="007C7190"/>
    <w:rsid w:val="007C7D68"/>
    <w:rsid w:val="007D0963"/>
    <w:rsid w:val="007D0BCA"/>
    <w:rsid w:val="007D4484"/>
    <w:rsid w:val="007D687E"/>
    <w:rsid w:val="007E026A"/>
    <w:rsid w:val="007E118D"/>
    <w:rsid w:val="007E18E2"/>
    <w:rsid w:val="007F0E26"/>
    <w:rsid w:val="007F1113"/>
    <w:rsid w:val="007F3BEB"/>
    <w:rsid w:val="007F4DCB"/>
    <w:rsid w:val="007F6F70"/>
    <w:rsid w:val="007F7109"/>
    <w:rsid w:val="00800E5F"/>
    <w:rsid w:val="00802888"/>
    <w:rsid w:val="00803F80"/>
    <w:rsid w:val="008044B5"/>
    <w:rsid w:val="00804B50"/>
    <w:rsid w:val="0080734C"/>
    <w:rsid w:val="008104A5"/>
    <w:rsid w:val="00810537"/>
    <w:rsid w:val="008117D0"/>
    <w:rsid w:val="00812025"/>
    <w:rsid w:val="00812AEA"/>
    <w:rsid w:val="00812EB6"/>
    <w:rsid w:val="00814543"/>
    <w:rsid w:val="008166FA"/>
    <w:rsid w:val="0081690F"/>
    <w:rsid w:val="00816BC7"/>
    <w:rsid w:val="00820121"/>
    <w:rsid w:val="008202A4"/>
    <w:rsid w:val="00820436"/>
    <w:rsid w:val="00821C1E"/>
    <w:rsid w:val="0082217E"/>
    <w:rsid w:val="00823F0C"/>
    <w:rsid w:val="0082435B"/>
    <w:rsid w:val="00824F42"/>
    <w:rsid w:val="00825269"/>
    <w:rsid w:val="00825776"/>
    <w:rsid w:val="008302DB"/>
    <w:rsid w:val="0083082E"/>
    <w:rsid w:val="008353B3"/>
    <w:rsid w:val="008377F5"/>
    <w:rsid w:val="00837928"/>
    <w:rsid w:val="00837FEE"/>
    <w:rsid w:val="00840613"/>
    <w:rsid w:val="00840D90"/>
    <w:rsid w:val="00842845"/>
    <w:rsid w:val="0085184E"/>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406A"/>
    <w:rsid w:val="008854E2"/>
    <w:rsid w:val="00886300"/>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1BEF"/>
    <w:rsid w:val="008A21FB"/>
    <w:rsid w:val="008A24AD"/>
    <w:rsid w:val="008A3161"/>
    <w:rsid w:val="008A4DCA"/>
    <w:rsid w:val="008A51FC"/>
    <w:rsid w:val="008A5844"/>
    <w:rsid w:val="008A6445"/>
    <w:rsid w:val="008B031D"/>
    <w:rsid w:val="008B0538"/>
    <w:rsid w:val="008B062E"/>
    <w:rsid w:val="008B31A1"/>
    <w:rsid w:val="008B34A1"/>
    <w:rsid w:val="008B4028"/>
    <w:rsid w:val="008B5C74"/>
    <w:rsid w:val="008B716C"/>
    <w:rsid w:val="008B75CB"/>
    <w:rsid w:val="008C0C70"/>
    <w:rsid w:val="008C147A"/>
    <w:rsid w:val="008C27E1"/>
    <w:rsid w:val="008C29D5"/>
    <w:rsid w:val="008C3BDB"/>
    <w:rsid w:val="008C5693"/>
    <w:rsid w:val="008D2063"/>
    <w:rsid w:val="008D4427"/>
    <w:rsid w:val="008D4BF8"/>
    <w:rsid w:val="008D52E5"/>
    <w:rsid w:val="008D58A0"/>
    <w:rsid w:val="008D6EA2"/>
    <w:rsid w:val="008E2DDA"/>
    <w:rsid w:val="008E537F"/>
    <w:rsid w:val="008E6AD5"/>
    <w:rsid w:val="008F0BAA"/>
    <w:rsid w:val="008F15C9"/>
    <w:rsid w:val="008F1A96"/>
    <w:rsid w:val="008F404E"/>
    <w:rsid w:val="009000B2"/>
    <w:rsid w:val="00903DD0"/>
    <w:rsid w:val="009043EB"/>
    <w:rsid w:val="0090658C"/>
    <w:rsid w:val="009101EB"/>
    <w:rsid w:val="00910448"/>
    <w:rsid w:val="009121AD"/>
    <w:rsid w:val="00913473"/>
    <w:rsid w:val="00913B7B"/>
    <w:rsid w:val="009141F3"/>
    <w:rsid w:val="0091430E"/>
    <w:rsid w:val="00914661"/>
    <w:rsid w:val="00915A81"/>
    <w:rsid w:val="009169BF"/>
    <w:rsid w:val="00921C2C"/>
    <w:rsid w:val="0092377C"/>
    <w:rsid w:val="00927547"/>
    <w:rsid w:val="00930F92"/>
    <w:rsid w:val="0093244D"/>
    <w:rsid w:val="00933004"/>
    <w:rsid w:val="009342F2"/>
    <w:rsid w:val="00934D1D"/>
    <w:rsid w:val="00934D87"/>
    <w:rsid w:val="00935685"/>
    <w:rsid w:val="00937264"/>
    <w:rsid w:val="00941576"/>
    <w:rsid w:val="0094350E"/>
    <w:rsid w:val="00950696"/>
    <w:rsid w:val="00953A11"/>
    <w:rsid w:val="00956A68"/>
    <w:rsid w:val="00957560"/>
    <w:rsid w:val="0096034E"/>
    <w:rsid w:val="0096071D"/>
    <w:rsid w:val="00960935"/>
    <w:rsid w:val="00960AFD"/>
    <w:rsid w:val="009612CB"/>
    <w:rsid w:val="0096242B"/>
    <w:rsid w:val="0096336F"/>
    <w:rsid w:val="00964294"/>
    <w:rsid w:val="00964536"/>
    <w:rsid w:val="009723CB"/>
    <w:rsid w:val="0097244E"/>
    <w:rsid w:val="00972FB9"/>
    <w:rsid w:val="00975A68"/>
    <w:rsid w:val="00977508"/>
    <w:rsid w:val="00977967"/>
    <w:rsid w:val="00977CDD"/>
    <w:rsid w:val="00980712"/>
    <w:rsid w:val="00980B61"/>
    <w:rsid w:val="009852C6"/>
    <w:rsid w:val="00985984"/>
    <w:rsid w:val="00985E9C"/>
    <w:rsid w:val="00990772"/>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357"/>
    <w:rsid w:val="009C23CA"/>
    <w:rsid w:val="009C5A50"/>
    <w:rsid w:val="009C7169"/>
    <w:rsid w:val="009C7406"/>
    <w:rsid w:val="009C761F"/>
    <w:rsid w:val="009C78B1"/>
    <w:rsid w:val="009D1B2E"/>
    <w:rsid w:val="009D584A"/>
    <w:rsid w:val="009D643D"/>
    <w:rsid w:val="009D7200"/>
    <w:rsid w:val="009E1D7A"/>
    <w:rsid w:val="009E37EF"/>
    <w:rsid w:val="009E40A9"/>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B64"/>
    <w:rsid w:val="00A22DD4"/>
    <w:rsid w:val="00A23F7F"/>
    <w:rsid w:val="00A2435D"/>
    <w:rsid w:val="00A2451D"/>
    <w:rsid w:val="00A25BBA"/>
    <w:rsid w:val="00A27693"/>
    <w:rsid w:val="00A27A88"/>
    <w:rsid w:val="00A309A8"/>
    <w:rsid w:val="00A32219"/>
    <w:rsid w:val="00A33E18"/>
    <w:rsid w:val="00A33E79"/>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649C6"/>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164E"/>
    <w:rsid w:val="00AB4E56"/>
    <w:rsid w:val="00AB6621"/>
    <w:rsid w:val="00AB787B"/>
    <w:rsid w:val="00AB79B6"/>
    <w:rsid w:val="00AC0077"/>
    <w:rsid w:val="00AC416A"/>
    <w:rsid w:val="00AC778A"/>
    <w:rsid w:val="00AC7E37"/>
    <w:rsid w:val="00AD20E5"/>
    <w:rsid w:val="00AD2903"/>
    <w:rsid w:val="00AD2ED4"/>
    <w:rsid w:val="00AD3A60"/>
    <w:rsid w:val="00AD3CFC"/>
    <w:rsid w:val="00AD4F11"/>
    <w:rsid w:val="00AD67DD"/>
    <w:rsid w:val="00AD7F63"/>
    <w:rsid w:val="00AE0E38"/>
    <w:rsid w:val="00AE13E8"/>
    <w:rsid w:val="00AE217C"/>
    <w:rsid w:val="00AE2885"/>
    <w:rsid w:val="00AE30C3"/>
    <w:rsid w:val="00AE5908"/>
    <w:rsid w:val="00AE606F"/>
    <w:rsid w:val="00AE6F3C"/>
    <w:rsid w:val="00AF02AD"/>
    <w:rsid w:val="00AF0750"/>
    <w:rsid w:val="00AF14FC"/>
    <w:rsid w:val="00AF220E"/>
    <w:rsid w:val="00AF225C"/>
    <w:rsid w:val="00AF23BD"/>
    <w:rsid w:val="00AF242C"/>
    <w:rsid w:val="00AF5859"/>
    <w:rsid w:val="00B004D8"/>
    <w:rsid w:val="00B00703"/>
    <w:rsid w:val="00B00F3D"/>
    <w:rsid w:val="00B01F36"/>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26E4E"/>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4E1D"/>
    <w:rsid w:val="00B5553F"/>
    <w:rsid w:val="00B569F2"/>
    <w:rsid w:val="00B56B09"/>
    <w:rsid w:val="00B56B61"/>
    <w:rsid w:val="00B57564"/>
    <w:rsid w:val="00B57F15"/>
    <w:rsid w:val="00B629B1"/>
    <w:rsid w:val="00B62C59"/>
    <w:rsid w:val="00B63458"/>
    <w:rsid w:val="00B63E61"/>
    <w:rsid w:val="00B65F0C"/>
    <w:rsid w:val="00B66E70"/>
    <w:rsid w:val="00B66EA2"/>
    <w:rsid w:val="00B66FE7"/>
    <w:rsid w:val="00B70E42"/>
    <w:rsid w:val="00B712B1"/>
    <w:rsid w:val="00B73236"/>
    <w:rsid w:val="00B7439D"/>
    <w:rsid w:val="00B74B79"/>
    <w:rsid w:val="00B80829"/>
    <w:rsid w:val="00B80851"/>
    <w:rsid w:val="00B82A2C"/>
    <w:rsid w:val="00B839F4"/>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5B7"/>
    <w:rsid w:val="00BB29EC"/>
    <w:rsid w:val="00BB4459"/>
    <w:rsid w:val="00BB589B"/>
    <w:rsid w:val="00BB5FF1"/>
    <w:rsid w:val="00BC0FDE"/>
    <w:rsid w:val="00BC1C79"/>
    <w:rsid w:val="00BC27DC"/>
    <w:rsid w:val="00BC2B64"/>
    <w:rsid w:val="00BC2C47"/>
    <w:rsid w:val="00BC2DB8"/>
    <w:rsid w:val="00BC30F8"/>
    <w:rsid w:val="00BC39CC"/>
    <w:rsid w:val="00BC4B4A"/>
    <w:rsid w:val="00BC4CF0"/>
    <w:rsid w:val="00BC6331"/>
    <w:rsid w:val="00BC649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674"/>
    <w:rsid w:val="00C01865"/>
    <w:rsid w:val="00C0740E"/>
    <w:rsid w:val="00C07D39"/>
    <w:rsid w:val="00C12426"/>
    <w:rsid w:val="00C12F9D"/>
    <w:rsid w:val="00C17338"/>
    <w:rsid w:val="00C20765"/>
    <w:rsid w:val="00C24751"/>
    <w:rsid w:val="00C24A53"/>
    <w:rsid w:val="00C31A3C"/>
    <w:rsid w:val="00C328A3"/>
    <w:rsid w:val="00C365EE"/>
    <w:rsid w:val="00C37D30"/>
    <w:rsid w:val="00C400EC"/>
    <w:rsid w:val="00C408F8"/>
    <w:rsid w:val="00C40A79"/>
    <w:rsid w:val="00C423F5"/>
    <w:rsid w:val="00C45B63"/>
    <w:rsid w:val="00C4620D"/>
    <w:rsid w:val="00C47AA3"/>
    <w:rsid w:val="00C5077A"/>
    <w:rsid w:val="00C50DC5"/>
    <w:rsid w:val="00C50E7C"/>
    <w:rsid w:val="00C52E5D"/>
    <w:rsid w:val="00C543BB"/>
    <w:rsid w:val="00C5476A"/>
    <w:rsid w:val="00C60FD7"/>
    <w:rsid w:val="00C61A74"/>
    <w:rsid w:val="00C61D95"/>
    <w:rsid w:val="00C61E0D"/>
    <w:rsid w:val="00C705B5"/>
    <w:rsid w:val="00C70C0C"/>
    <w:rsid w:val="00C73289"/>
    <w:rsid w:val="00C734AC"/>
    <w:rsid w:val="00C73954"/>
    <w:rsid w:val="00C73CCD"/>
    <w:rsid w:val="00C73DC1"/>
    <w:rsid w:val="00C73E84"/>
    <w:rsid w:val="00C74A9C"/>
    <w:rsid w:val="00C753C3"/>
    <w:rsid w:val="00C76799"/>
    <w:rsid w:val="00C770A1"/>
    <w:rsid w:val="00C81DCE"/>
    <w:rsid w:val="00C84DE1"/>
    <w:rsid w:val="00C8630B"/>
    <w:rsid w:val="00C867B7"/>
    <w:rsid w:val="00C8780F"/>
    <w:rsid w:val="00C90C5E"/>
    <w:rsid w:val="00C91AB6"/>
    <w:rsid w:val="00C92EEF"/>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C25C9"/>
    <w:rsid w:val="00CC4AD4"/>
    <w:rsid w:val="00CC6CD2"/>
    <w:rsid w:val="00CC7235"/>
    <w:rsid w:val="00CD08B1"/>
    <w:rsid w:val="00CD0F80"/>
    <w:rsid w:val="00CD27EE"/>
    <w:rsid w:val="00CD4463"/>
    <w:rsid w:val="00CD460D"/>
    <w:rsid w:val="00CD52DC"/>
    <w:rsid w:val="00CE34FE"/>
    <w:rsid w:val="00CE4A71"/>
    <w:rsid w:val="00CE5AA5"/>
    <w:rsid w:val="00CE65B4"/>
    <w:rsid w:val="00CF1019"/>
    <w:rsid w:val="00CF1377"/>
    <w:rsid w:val="00CF241C"/>
    <w:rsid w:val="00CF24AD"/>
    <w:rsid w:val="00CF282A"/>
    <w:rsid w:val="00CF2CE8"/>
    <w:rsid w:val="00CF4C7F"/>
    <w:rsid w:val="00CF575D"/>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40E"/>
    <w:rsid w:val="00D177B8"/>
    <w:rsid w:val="00D17AAB"/>
    <w:rsid w:val="00D17EF0"/>
    <w:rsid w:val="00D20784"/>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6552"/>
    <w:rsid w:val="00D5778B"/>
    <w:rsid w:val="00D57CB5"/>
    <w:rsid w:val="00D60E38"/>
    <w:rsid w:val="00D63E5C"/>
    <w:rsid w:val="00D657BC"/>
    <w:rsid w:val="00D65EC2"/>
    <w:rsid w:val="00D65FF3"/>
    <w:rsid w:val="00D74024"/>
    <w:rsid w:val="00D75D1C"/>
    <w:rsid w:val="00D7686A"/>
    <w:rsid w:val="00D769DF"/>
    <w:rsid w:val="00D77805"/>
    <w:rsid w:val="00D77B26"/>
    <w:rsid w:val="00D81A6D"/>
    <w:rsid w:val="00D81BCA"/>
    <w:rsid w:val="00D83B1F"/>
    <w:rsid w:val="00D864D9"/>
    <w:rsid w:val="00D86CA8"/>
    <w:rsid w:val="00D87A68"/>
    <w:rsid w:val="00D9032B"/>
    <w:rsid w:val="00D94C9B"/>
    <w:rsid w:val="00D95D63"/>
    <w:rsid w:val="00D960DD"/>
    <w:rsid w:val="00D96D6E"/>
    <w:rsid w:val="00D97F63"/>
    <w:rsid w:val="00DA00DE"/>
    <w:rsid w:val="00DA19B9"/>
    <w:rsid w:val="00DA25A8"/>
    <w:rsid w:val="00DA268F"/>
    <w:rsid w:val="00DA2727"/>
    <w:rsid w:val="00DA4F08"/>
    <w:rsid w:val="00DA5E20"/>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4C2"/>
    <w:rsid w:val="00DC68FD"/>
    <w:rsid w:val="00DD18E9"/>
    <w:rsid w:val="00DD1EFB"/>
    <w:rsid w:val="00DD2332"/>
    <w:rsid w:val="00DD406A"/>
    <w:rsid w:val="00DD474C"/>
    <w:rsid w:val="00DD573A"/>
    <w:rsid w:val="00DD5820"/>
    <w:rsid w:val="00DD6858"/>
    <w:rsid w:val="00DE0B17"/>
    <w:rsid w:val="00DE150C"/>
    <w:rsid w:val="00DE2FC9"/>
    <w:rsid w:val="00DE346B"/>
    <w:rsid w:val="00DE3CE3"/>
    <w:rsid w:val="00DE4339"/>
    <w:rsid w:val="00DE43F5"/>
    <w:rsid w:val="00DE4734"/>
    <w:rsid w:val="00DE57E3"/>
    <w:rsid w:val="00DE7848"/>
    <w:rsid w:val="00DF10BC"/>
    <w:rsid w:val="00DF23EF"/>
    <w:rsid w:val="00DF2E0D"/>
    <w:rsid w:val="00DF2E2A"/>
    <w:rsid w:val="00DF42BC"/>
    <w:rsid w:val="00DF46FA"/>
    <w:rsid w:val="00DF52A3"/>
    <w:rsid w:val="00DF58C5"/>
    <w:rsid w:val="00E06E14"/>
    <w:rsid w:val="00E101FF"/>
    <w:rsid w:val="00E11681"/>
    <w:rsid w:val="00E11EED"/>
    <w:rsid w:val="00E12D0F"/>
    <w:rsid w:val="00E13664"/>
    <w:rsid w:val="00E13C2A"/>
    <w:rsid w:val="00E16051"/>
    <w:rsid w:val="00E170E2"/>
    <w:rsid w:val="00E17FE1"/>
    <w:rsid w:val="00E201CC"/>
    <w:rsid w:val="00E21618"/>
    <w:rsid w:val="00E22AA6"/>
    <w:rsid w:val="00E2407C"/>
    <w:rsid w:val="00E24230"/>
    <w:rsid w:val="00E246A0"/>
    <w:rsid w:val="00E251C0"/>
    <w:rsid w:val="00E3040C"/>
    <w:rsid w:val="00E31115"/>
    <w:rsid w:val="00E31AD2"/>
    <w:rsid w:val="00E327E1"/>
    <w:rsid w:val="00E32B3D"/>
    <w:rsid w:val="00E33BA4"/>
    <w:rsid w:val="00E34884"/>
    <w:rsid w:val="00E36443"/>
    <w:rsid w:val="00E36F9E"/>
    <w:rsid w:val="00E37F44"/>
    <w:rsid w:val="00E4055D"/>
    <w:rsid w:val="00E406E6"/>
    <w:rsid w:val="00E43526"/>
    <w:rsid w:val="00E43F0C"/>
    <w:rsid w:val="00E50735"/>
    <w:rsid w:val="00E515BE"/>
    <w:rsid w:val="00E529CB"/>
    <w:rsid w:val="00E535F3"/>
    <w:rsid w:val="00E548A3"/>
    <w:rsid w:val="00E54BCA"/>
    <w:rsid w:val="00E55F02"/>
    <w:rsid w:val="00E56CF0"/>
    <w:rsid w:val="00E63B9B"/>
    <w:rsid w:val="00E64266"/>
    <w:rsid w:val="00E66CD6"/>
    <w:rsid w:val="00E725F7"/>
    <w:rsid w:val="00E73027"/>
    <w:rsid w:val="00E7417E"/>
    <w:rsid w:val="00E76C85"/>
    <w:rsid w:val="00E76E83"/>
    <w:rsid w:val="00E77EC6"/>
    <w:rsid w:val="00E80234"/>
    <w:rsid w:val="00E8108C"/>
    <w:rsid w:val="00E81C31"/>
    <w:rsid w:val="00E82DFC"/>
    <w:rsid w:val="00E8326B"/>
    <w:rsid w:val="00E84D06"/>
    <w:rsid w:val="00E8546B"/>
    <w:rsid w:val="00E858BB"/>
    <w:rsid w:val="00E85962"/>
    <w:rsid w:val="00E85B7E"/>
    <w:rsid w:val="00E86332"/>
    <w:rsid w:val="00E86521"/>
    <w:rsid w:val="00E90EE9"/>
    <w:rsid w:val="00E9167C"/>
    <w:rsid w:val="00E93BE4"/>
    <w:rsid w:val="00E95D2A"/>
    <w:rsid w:val="00E96ED9"/>
    <w:rsid w:val="00EA2B8C"/>
    <w:rsid w:val="00EA2FA8"/>
    <w:rsid w:val="00EA3B9F"/>
    <w:rsid w:val="00EA4F77"/>
    <w:rsid w:val="00EA59F5"/>
    <w:rsid w:val="00EB297C"/>
    <w:rsid w:val="00EB3578"/>
    <w:rsid w:val="00EB3B00"/>
    <w:rsid w:val="00EB4EAE"/>
    <w:rsid w:val="00EB5BC2"/>
    <w:rsid w:val="00EB6BD2"/>
    <w:rsid w:val="00EC11FD"/>
    <w:rsid w:val="00EC2F22"/>
    <w:rsid w:val="00EC3D46"/>
    <w:rsid w:val="00EC4141"/>
    <w:rsid w:val="00EC4395"/>
    <w:rsid w:val="00EC4C57"/>
    <w:rsid w:val="00EC55B6"/>
    <w:rsid w:val="00EC563A"/>
    <w:rsid w:val="00EC5DE6"/>
    <w:rsid w:val="00EC7245"/>
    <w:rsid w:val="00EC784A"/>
    <w:rsid w:val="00ED0822"/>
    <w:rsid w:val="00ED0B91"/>
    <w:rsid w:val="00ED276A"/>
    <w:rsid w:val="00ED3E0F"/>
    <w:rsid w:val="00ED4308"/>
    <w:rsid w:val="00ED4A15"/>
    <w:rsid w:val="00ED5A72"/>
    <w:rsid w:val="00ED5F8E"/>
    <w:rsid w:val="00ED6B42"/>
    <w:rsid w:val="00ED6E66"/>
    <w:rsid w:val="00ED79F0"/>
    <w:rsid w:val="00ED7A7D"/>
    <w:rsid w:val="00EE0C3D"/>
    <w:rsid w:val="00EE0C4D"/>
    <w:rsid w:val="00EE3EC0"/>
    <w:rsid w:val="00EE55B2"/>
    <w:rsid w:val="00EE5D7B"/>
    <w:rsid w:val="00EE605E"/>
    <w:rsid w:val="00EF1647"/>
    <w:rsid w:val="00EF27ED"/>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14D7"/>
    <w:rsid w:val="00F241F6"/>
    <w:rsid w:val="00F242F6"/>
    <w:rsid w:val="00F24B2C"/>
    <w:rsid w:val="00F24D01"/>
    <w:rsid w:val="00F264FC"/>
    <w:rsid w:val="00F268D6"/>
    <w:rsid w:val="00F30FA2"/>
    <w:rsid w:val="00F36E46"/>
    <w:rsid w:val="00F40750"/>
    <w:rsid w:val="00F41982"/>
    <w:rsid w:val="00F441FD"/>
    <w:rsid w:val="00F4512D"/>
    <w:rsid w:val="00F45A18"/>
    <w:rsid w:val="00F50C29"/>
    <w:rsid w:val="00F51DBF"/>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11CE"/>
    <w:rsid w:val="00F930B1"/>
    <w:rsid w:val="00F9626E"/>
    <w:rsid w:val="00F97FC1"/>
    <w:rsid w:val="00FA4933"/>
    <w:rsid w:val="00FA789B"/>
    <w:rsid w:val="00FB0B42"/>
    <w:rsid w:val="00FB277E"/>
    <w:rsid w:val="00FB287D"/>
    <w:rsid w:val="00FB2DA0"/>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0316"/>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37"/>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91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rsid w:val="0091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0860175">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4522080">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1619187">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7553825">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3220873">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4203524">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1853206">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222710">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573636">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3816159">
      <w:bodyDiv w:val="1"/>
      <w:marLeft w:val="0"/>
      <w:marRight w:val="0"/>
      <w:marTop w:val="0"/>
      <w:marBottom w:val="0"/>
      <w:divBdr>
        <w:top w:val="none" w:sz="0" w:space="0" w:color="auto"/>
        <w:left w:val="none" w:sz="0" w:space="0" w:color="auto"/>
        <w:bottom w:val="none" w:sz="0" w:space="0" w:color="auto"/>
        <w:right w:val="none" w:sz="0" w:space="0" w:color="auto"/>
      </w:divBdr>
    </w:div>
    <w:div w:id="106703204">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091380">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18840699">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49253496">
      <w:bodyDiv w:val="1"/>
      <w:marLeft w:val="0"/>
      <w:marRight w:val="0"/>
      <w:marTop w:val="0"/>
      <w:marBottom w:val="0"/>
      <w:divBdr>
        <w:top w:val="none" w:sz="0" w:space="0" w:color="auto"/>
        <w:left w:val="none" w:sz="0" w:space="0" w:color="auto"/>
        <w:bottom w:val="none" w:sz="0" w:space="0" w:color="auto"/>
        <w:right w:val="none" w:sz="0" w:space="0" w:color="auto"/>
      </w:divBdr>
    </w:div>
    <w:div w:id="151680694">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09154062">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5896699">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6978550">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48927637">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1740742">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6423063">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7756998">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1471079">
      <w:bodyDiv w:val="1"/>
      <w:marLeft w:val="0"/>
      <w:marRight w:val="0"/>
      <w:marTop w:val="0"/>
      <w:marBottom w:val="0"/>
      <w:divBdr>
        <w:top w:val="none" w:sz="0" w:space="0" w:color="auto"/>
        <w:left w:val="none" w:sz="0" w:space="0" w:color="auto"/>
        <w:bottom w:val="none" w:sz="0" w:space="0" w:color="auto"/>
        <w:right w:val="none" w:sz="0" w:space="0" w:color="auto"/>
      </w:divBdr>
    </w:div>
    <w:div w:id="34428235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1727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3425714">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1832206">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6127549">
      <w:bodyDiv w:val="1"/>
      <w:marLeft w:val="0"/>
      <w:marRight w:val="0"/>
      <w:marTop w:val="0"/>
      <w:marBottom w:val="0"/>
      <w:divBdr>
        <w:top w:val="none" w:sz="0" w:space="0" w:color="auto"/>
        <w:left w:val="none" w:sz="0" w:space="0" w:color="auto"/>
        <w:bottom w:val="none" w:sz="0" w:space="0" w:color="auto"/>
        <w:right w:val="none" w:sz="0" w:space="0" w:color="auto"/>
      </w:divBdr>
      <w:divsChild>
        <w:div w:id="287050999">
          <w:marLeft w:val="0"/>
          <w:marRight w:val="0"/>
          <w:marTop w:val="0"/>
          <w:marBottom w:val="0"/>
          <w:divBdr>
            <w:top w:val="none" w:sz="0" w:space="0" w:color="auto"/>
            <w:left w:val="none" w:sz="0" w:space="0" w:color="auto"/>
            <w:bottom w:val="none" w:sz="0" w:space="0" w:color="auto"/>
            <w:right w:val="none" w:sz="0" w:space="0" w:color="auto"/>
          </w:divBdr>
          <w:divsChild>
            <w:div w:id="799764048">
              <w:marLeft w:val="0"/>
              <w:marRight w:val="0"/>
              <w:marTop w:val="0"/>
              <w:marBottom w:val="0"/>
              <w:divBdr>
                <w:top w:val="none" w:sz="0" w:space="0" w:color="auto"/>
                <w:left w:val="none" w:sz="0" w:space="0" w:color="auto"/>
                <w:bottom w:val="none" w:sz="0" w:space="0" w:color="auto"/>
                <w:right w:val="none" w:sz="0" w:space="0" w:color="auto"/>
              </w:divBdr>
              <w:divsChild>
                <w:div w:id="1335912126">
                  <w:marLeft w:val="0"/>
                  <w:marRight w:val="0"/>
                  <w:marTop w:val="0"/>
                  <w:marBottom w:val="0"/>
                  <w:divBdr>
                    <w:top w:val="none" w:sz="0" w:space="0" w:color="auto"/>
                    <w:left w:val="none" w:sz="0" w:space="0" w:color="auto"/>
                    <w:bottom w:val="none" w:sz="0" w:space="0" w:color="auto"/>
                    <w:right w:val="none" w:sz="0" w:space="0" w:color="auto"/>
                  </w:divBdr>
                  <w:divsChild>
                    <w:div w:id="877088358">
                      <w:marLeft w:val="0"/>
                      <w:marRight w:val="0"/>
                      <w:marTop w:val="0"/>
                      <w:marBottom w:val="0"/>
                      <w:divBdr>
                        <w:top w:val="none" w:sz="0" w:space="0" w:color="auto"/>
                        <w:left w:val="none" w:sz="0" w:space="0" w:color="auto"/>
                        <w:bottom w:val="none" w:sz="0" w:space="0" w:color="auto"/>
                        <w:right w:val="none" w:sz="0" w:space="0" w:color="auto"/>
                      </w:divBdr>
                      <w:divsChild>
                        <w:div w:id="1731034893">
                          <w:marLeft w:val="0"/>
                          <w:marRight w:val="0"/>
                          <w:marTop w:val="100"/>
                          <w:marBottom w:val="100"/>
                          <w:divBdr>
                            <w:top w:val="none" w:sz="0" w:space="0" w:color="auto"/>
                            <w:left w:val="none" w:sz="0" w:space="0" w:color="auto"/>
                            <w:bottom w:val="none" w:sz="0" w:space="0" w:color="auto"/>
                            <w:right w:val="none" w:sz="0" w:space="0" w:color="auto"/>
                          </w:divBdr>
                          <w:divsChild>
                            <w:div w:id="1430157129">
                              <w:marLeft w:val="0"/>
                              <w:marRight w:val="0"/>
                              <w:marTop w:val="0"/>
                              <w:marBottom w:val="0"/>
                              <w:divBdr>
                                <w:top w:val="none" w:sz="0" w:space="0" w:color="000000"/>
                                <w:left w:val="none" w:sz="0" w:space="0" w:color="000000"/>
                                <w:bottom w:val="none" w:sz="0" w:space="0" w:color="000000"/>
                                <w:right w:val="none" w:sz="0" w:space="0" w:color="000000"/>
                              </w:divBdr>
                              <w:divsChild>
                                <w:div w:id="188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5441680">
      <w:bodyDiv w:val="1"/>
      <w:marLeft w:val="0"/>
      <w:marRight w:val="0"/>
      <w:marTop w:val="0"/>
      <w:marBottom w:val="0"/>
      <w:divBdr>
        <w:top w:val="none" w:sz="0" w:space="0" w:color="auto"/>
        <w:left w:val="none" w:sz="0" w:space="0" w:color="auto"/>
        <w:bottom w:val="none" w:sz="0" w:space="0" w:color="auto"/>
        <w:right w:val="none" w:sz="0" w:space="0" w:color="auto"/>
      </w:divBdr>
    </w:div>
    <w:div w:id="418407927">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37976">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3404214">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09756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5192525">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88975199">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384163">
      <w:bodyDiv w:val="1"/>
      <w:marLeft w:val="0"/>
      <w:marRight w:val="0"/>
      <w:marTop w:val="0"/>
      <w:marBottom w:val="0"/>
      <w:divBdr>
        <w:top w:val="none" w:sz="0" w:space="0" w:color="auto"/>
        <w:left w:val="none" w:sz="0" w:space="0" w:color="auto"/>
        <w:bottom w:val="none" w:sz="0" w:space="0" w:color="auto"/>
        <w:right w:val="none" w:sz="0" w:space="0" w:color="auto"/>
      </w:divBdr>
    </w:div>
    <w:div w:id="620502393">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2557847">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6130478">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87872174">
      <w:bodyDiv w:val="1"/>
      <w:marLeft w:val="0"/>
      <w:marRight w:val="0"/>
      <w:marTop w:val="0"/>
      <w:marBottom w:val="0"/>
      <w:divBdr>
        <w:top w:val="none" w:sz="0" w:space="0" w:color="auto"/>
        <w:left w:val="none" w:sz="0" w:space="0" w:color="auto"/>
        <w:bottom w:val="none" w:sz="0" w:space="0" w:color="auto"/>
        <w:right w:val="none" w:sz="0" w:space="0" w:color="auto"/>
      </w:divBdr>
    </w:div>
    <w:div w:id="69134590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78134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597613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8373829">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46133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88209826">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1244307">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5321914">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08286644">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184506">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5250049">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1429791">
      <w:bodyDiv w:val="1"/>
      <w:marLeft w:val="0"/>
      <w:marRight w:val="0"/>
      <w:marTop w:val="0"/>
      <w:marBottom w:val="0"/>
      <w:divBdr>
        <w:top w:val="none" w:sz="0" w:space="0" w:color="auto"/>
        <w:left w:val="none" w:sz="0" w:space="0" w:color="auto"/>
        <w:bottom w:val="none" w:sz="0" w:space="0" w:color="auto"/>
        <w:right w:val="none" w:sz="0" w:space="0" w:color="auto"/>
      </w:divBdr>
    </w:div>
    <w:div w:id="892236436">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09735694">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44843446">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4773075">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69703185">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0106697">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211671">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56249">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2650838">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16555931">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131201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0209992">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419116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105577">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815116">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7731588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1152322">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296993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38066374">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171336">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435022">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2065210">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5782216">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28174457">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244988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46411573">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107571">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2787729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4576275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801840">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419902">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3036612">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031608">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27760137">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6539032">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0695956">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6526963">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6544393">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0242">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1591639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4597560">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790129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1885381">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1563873">
      <w:bodyDiv w:val="1"/>
      <w:marLeft w:val="0"/>
      <w:marRight w:val="0"/>
      <w:marTop w:val="0"/>
      <w:marBottom w:val="0"/>
      <w:divBdr>
        <w:top w:val="none" w:sz="0" w:space="0" w:color="auto"/>
        <w:left w:val="none" w:sz="0" w:space="0" w:color="auto"/>
        <w:bottom w:val="none" w:sz="0" w:space="0" w:color="auto"/>
        <w:right w:val="none" w:sz="0" w:space="0" w:color="auto"/>
      </w:divBdr>
    </w:div>
    <w:div w:id="2083746386">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864420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8983772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02023">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1660798">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19906844">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26340718">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kpmg.com/content/dam/kpmgsites/ch/pdf/finma-circular-2015-02-en.pdf" TargetMode="External"/><Relationship Id="rId18" Type="http://schemas.openxmlformats.org/officeDocument/2006/relationships/hyperlink" Target="https://www.fca.org.uk/news/speeches/harnessing-ai-and-technology" TargetMode="External"/><Relationship Id="rId26" Type="http://schemas.openxmlformats.org/officeDocument/2006/relationships/hyperlink" Target="https://www.govinfo.gov/content/pkg/COMPS-10309/pdf/COMPS-10309.pdf" TargetMode="External"/><Relationship Id="rId39" Type="http://schemas.openxmlformats.org/officeDocument/2006/relationships/hyperlink" Target="https://www.cftc.gov/csl/25-17/download" TargetMode="External"/><Relationship Id="rId21" Type="http://schemas.openxmlformats.org/officeDocument/2006/relationships/hyperlink" Target="https://www.cftc.gov/media/12426/FCM_FAQs063025/download" TargetMode="External"/><Relationship Id="rId34" Type="http://schemas.openxmlformats.org/officeDocument/2006/relationships/hyperlink" Target="https://www.govinfo.gov/content/pkg/USCODE-2011-title11/html/USCODE-2011-title11.htm" TargetMode="External"/><Relationship Id="rId42" Type="http://schemas.openxmlformats.org/officeDocument/2006/relationships/hyperlink" Target="https://www.elegislation.gov.hk/hk/cap571" TargetMode="External"/><Relationship Id="rId47" Type="http://schemas.openxmlformats.org/officeDocument/2006/relationships/hyperlink" Target="https://www.govinfo.gov/content/pkg/COMPS-1885/pdf/COMPS-1885.pdf" TargetMode="External"/><Relationship Id="rId50" Type="http://schemas.openxmlformats.org/officeDocument/2006/relationships/hyperlink" Target="mailto:rule-comments@sec.gov" TargetMode="External"/><Relationship Id="rId55" Type="http://schemas.openxmlformats.org/officeDocument/2006/relationships/hyperlink" Target="mailto:unsubscribe@charltonslaw.com?subject=unsubscribe%20-Hong%20Kong%20Law-"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ca.org.uk/about/how-we-work" TargetMode="External"/><Relationship Id="rId29" Type="http://schemas.openxmlformats.org/officeDocument/2006/relationships/hyperlink" Target="https://www.nfa.futures.org/rulebooksql/rules.aspx?Section=4&amp;RuleID=RULE%202-10" TargetMode="External"/><Relationship Id="rId11" Type="http://schemas.openxmlformats.org/officeDocument/2006/relationships/hyperlink" Target="https://assets.kpmg.com/content/dam/kpmgsites/ch/pdf/finma-circular-2019-1-risk-diversification-banks.pdf" TargetMode="External"/><Relationship Id="rId24" Type="http://schemas.openxmlformats.org/officeDocument/2006/relationships/hyperlink" Target="https://www.nfa.futures.org/rulebooksql/rules.aspx" TargetMode="External"/><Relationship Id="rId32" Type="http://schemas.openxmlformats.org/officeDocument/2006/relationships/hyperlink" Target="https://www.fincen.gov/resources/statutes-and-regulations/bank-secrecy-act" TargetMode="External"/><Relationship Id="rId37" Type="http://schemas.openxmlformats.org/officeDocument/2006/relationships/hyperlink" Target="https://www.nfa.futures.org/" TargetMode="External"/><Relationship Id="rId40" Type="http://schemas.openxmlformats.org/officeDocument/2006/relationships/hyperlink" Target="https://www.cftc.gov/PressRoom/PressReleases/9090-25" TargetMode="External"/><Relationship Id="rId45" Type="http://schemas.openxmlformats.org/officeDocument/2006/relationships/hyperlink" Target="https://www.hkma.gov.hk/eng/news-and-media/press-releases/2025/06/20250626-3/" TargetMode="External"/><Relationship Id="rId53" Type="http://schemas.openxmlformats.org/officeDocument/2006/relationships/hyperlink" Target="https://www.fatf-gafi.org/en/countries/black-and-grey-lists.htm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sso.agc.gov.sg/act/psa2019" TargetMode="External"/><Relationship Id="rId14" Type="http://schemas.openxmlformats.org/officeDocument/2006/relationships/hyperlink" Target="https://www.finma.ch/en/news/2025/07/20250703-mm-anh-rvv-liq-banken/" TargetMode="External"/><Relationship Id="rId22" Type="http://schemas.openxmlformats.org/officeDocument/2006/relationships/hyperlink" Target="https://www.govinfo.gov/content/pkg/COMPS-10309/pdf/COMPS-10309.pdf" TargetMode="External"/><Relationship Id="rId27" Type="http://schemas.openxmlformats.org/officeDocument/2006/relationships/hyperlink" Target="https://www.nfa.futures.org/rulebooksql/rules.aspx?RuleID=RULE%20401&amp;Section=8" TargetMode="External"/><Relationship Id="rId30" Type="http://schemas.openxmlformats.org/officeDocument/2006/relationships/hyperlink" Target="https://www.ecfr.gov/current/title-17/chapter-I/part-3/subpart-A/section-3.3" TargetMode="External"/><Relationship Id="rId35" Type="http://schemas.openxmlformats.org/officeDocument/2006/relationships/hyperlink" Target="https://www.law.cornell.edu/cfr/text/17/part-190" TargetMode="External"/><Relationship Id="rId43" Type="http://schemas.openxmlformats.org/officeDocument/2006/relationships/hyperlink" Target="https://www.elegislation.gov.hk/hk/cap571AN" TargetMode="External"/><Relationship Id="rId48" Type="http://schemas.openxmlformats.org/officeDocument/2006/relationships/hyperlink" Target="https://www.govinfo.gov/content/pkg/COMPS-1885/pdf/COMPS-1885.pdf" TargetMode="External"/><Relationship Id="rId56" Type="http://schemas.openxmlformats.org/officeDocument/2006/relationships/header" Target="header1.xml"/><Relationship Id="rId8" Type="http://schemas.openxmlformats.org/officeDocument/2006/relationships/hyperlink" Target="https://www.finma.ch/en/~/media/finma/dokumente/dokumentencenter/anhoerungen/laufende-anhoerungen/20250703-rvv-finma/20250703_rvv_finma_anhoerung_verordnung.pdf?sc_lang=en&amp;hash=DB869753FA65AD272955DCAD1AF6CBD4" TargetMode="External"/><Relationship Id="rId51" Type="http://schemas.openxmlformats.org/officeDocument/2006/relationships/hyperlink" Target="https://www.sec.gov/rules/sro.shtml" TargetMode="External"/><Relationship Id="rId3" Type="http://schemas.openxmlformats.org/officeDocument/2006/relationships/styles" Target="styles.xml"/><Relationship Id="rId12" Type="http://schemas.openxmlformats.org/officeDocument/2006/relationships/hyperlink" Target="https://assets.kpmg.com/content/dam/kpmgsites/ch/pdf/ch-finma-circular-2013-07-en.pdf" TargetMode="External"/><Relationship Id="rId17" Type="http://schemas.openxmlformats.org/officeDocument/2006/relationships/hyperlink" Target="https://www.fca.org.uk/firms/innovation/ai-lab" TargetMode="External"/><Relationship Id="rId25" Type="http://schemas.openxmlformats.org/officeDocument/2006/relationships/hyperlink" Target="https://www.federalregister.gov/documents/2019/03/11/2019-04297/revised-registration-form-7-r" TargetMode="External"/><Relationship Id="rId33" Type="http://schemas.openxmlformats.org/officeDocument/2006/relationships/hyperlink" Target="https://www.ecfr.gov/current/title-31/subtitle-B/chapter-X" TargetMode="External"/><Relationship Id="rId38" Type="http://schemas.openxmlformats.org/officeDocument/2006/relationships/hyperlink" Target="https://www.cftc.gov/PressRoom/PressReleases/9091-25" TargetMode="External"/><Relationship Id="rId46" Type="http://schemas.openxmlformats.org/officeDocument/2006/relationships/hyperlink" Target="https://www.sec.gov/files/rules/sro/nysearca/2025/34-103345.pdf" TargetMode="External"/><Relationship Id="rId59" Type="http://schemas.openxmlformats.org/officeDocument/2006/relationships/footer" Target="footer2.xml"/><Relationship Id="rId20" Type="http://schemas.openxmlformats.org/officeDocument/2006/relationships/hyperlink" Target="https://www.mas.gov.sg/regulation/enforcement/enforcement-actions" TargetMode="External"/><Relationship Id="rId41" Type="http://schemas.openxmlformats.org/officeDocument/2006/relationships/hyperlink" Target="https://www.hkma.gov.hk/media/eng/doc/key-information/press-release/2025/20250626e3a1.pdf" TargetMode="External"/><Relationship Id="rId54" Type="http://schemas.openxmlformats.org/officeDocument/2006/relationships/hyperlink" Target="https://www.fatf-gafi.org/en/countries/black-and-grey-list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ca.org.uk/news/speeches/harnessing-ai-and-technology" TargetMode="External"/><Relationship Id="rId23" Type="http://schemas.openxmlformats.org/officeDocument/2006/relationships/hyperlink" Target="https://www.ecfr.gov/current/title-17/chapter-I" TargetMode="External"/><Relationship Id="rId28" Type="http://schemas.openxmlformats.org/officeDocument/2006/relationships/hyperlink" Target="https://www.nfa.futures.org/rulebooksql/rules.aspx?Section=9&amp;RuleID=9075" TargetMode="External"/><Relationship Id="rId36" Type="http://schemas.openxmlformats.org/officeDocument/2006/relationships/hyperlink" Target="https://www.cftc.gov/" TargetMode="External"/><Relationship Id="rId49" Type="http://schemas.openxmlformats.org/officeDocument/2006/relationships/hyperlink" Target="https://www.sec.gov/rules/sro.shtml" TargetMode="External"/><Relationship Id="rId57" Type="http://schemas.openxmlformats.org/officeDocument/2006/relationships/header" Target="header2.xml"/><Relationship Id="rId10" Type="http://schemas.openxmlformats.org/officeDocument/2006/relationships/hyperlink" Target="https://www.fedlex.admin.ch/eli/cc/2008/736/en" TargetMode="External"/><Relationship Id="rId31" Type="http://schemas.openxmlformats.org/officeDocument/2006/relationships/hyperlink" Target="https://www.cftc.gov/sites/default/files/IndustryOversight/Intermediaries/1fr-fcminstructions.pdf" TargetMode="External"/><Relationship Id="rId44" Type="http://schemas.openxmlformats.org/officeDocument/2006/relationships/hyperlink" Target="https://www.hkma.gov.hk/media/eng/doc/key-information/press-release/2025/20250417e3a1.pdf" TargetMode="External"/><Relationship Id="rId52" Type="http://schemas.openxmlformats.org/officeDocument/2006/relationships/hyperlink" Target="https://www.sec.gov/files/rules/sro/nysearca/2025/34-103345.pdf"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inma.ch/en/~/media/finma/dokumente/dokumentencenter/anhoerungen/laufende-anhoerungen/20250703-liqv-finma/20250703_liqv_finma_anhoerung_verordnung.pdf?sc_lang=en&amp;hash=14F6D3C2FC189D7FAA1F6422C1AF3B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16573</TotalTime>
  <Pages>10</Pages>
  <Words>5014</Words>
  <Characters>28583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780</cp:revision>
  <dcterms:created xsi:type="dcterms:W3CDTF">2024-12-09T10:39:00Z</dcterms:created>
  <dcterms:modified xsi:type="dcterms:W3CDTF">2025-07-09T18:54:00Z</dcterms:modified>
</cp:coreProperties>
</file>