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000000" w:val="clear"/>
        <w:spacing w:after="0" w:lineRule="auto"/>
        <w:jc w:val="center"/>
        <w:rPr>
          <w:rFonts w:ascii="Arial" w:cs="Arial" w:eastAsia="Arial" w:hAnsi="Arial"/>
          <w:color w:val="ffffff"/>
        </w:rPr>
      </w:pPr>
      <w:r w:rsidDel="00000000" w:rsidR="00000000" w:rsidRPr="00000000">
        <w:rPr>
          <w:rFonts w:ascii="Arial" w:cs="Arial" w:eastAsia="Arial" w:hAnsi="Arial"/>
          <w:color w:val="ffffff"/>
          <w:rtl w:val="0"/>
        </w:rPr>
        <w:t xml:space="preserve">Charltons Quantum – Quantum Updates 61 – November 2025</w:t>
      </w:r>
    </w:p>
    <w:p w:rsidR="00000000" w:rsidDel="00000000" w:rsidP="00000000" w:rsidRDefault="00000000" w:rsidRPr="00000000" w14:paraId="00000002">
      <w:pPr>
        <w:spacing w:after="200" w:lineRule="auto"/>
        <w:jc w:val="center"/>
        <w:rPr>
          <w:rFonts w:ascii="Arial" w:cs="Arial" w:eastAsia="Arial" w:hAnsi="Arial"/>
          <w:color w:val="0563c1"/>
          <w:sz w:val="28"/>
          <w:szCs w:val="28"/>
          <w:u w:val="single"/>
        </w:rPr>
      </w:pPr>
      <w:r w:rsidDel="00000000" w:rsidR="00000000" w:rsidRPr="00000000">
        <w:rPr>
          <w:rFonts w:ascii="Arial" w:cs="Arial" w:eastAsia="Arial" w:hAnsi="Arial"/>
          <w:color w:val="ffffff"/>
          <w:rtl w:val="0"/>
        </w:rPr>
        <w:br w:type="textWrapping"/>
      </w:r>
      <w:hyperlink r:id="rId7">
        <w:r w:rsidDel="00000000" w:rsidR="00000000" w:rsidRPr="00000000">
          <w:rPr>
            <w:rFonts w:ascii="Arial" w:cs="Arial" w:eastAsia="Arial" w:hAnsi="Arial"/>
            <w:color w:val="1155cc"/>
            <w:sz w:val="28"/>
            <w:szCs w:val="28"/>
            <w:u w:val="single"/>
            <w:rtl w:val="0"/>
          </w:rPr>
          <w:t xml:space="preserve">Online version</w:t>
        </w:r>
      </w:hyperlink>
      <w:r w:rsidDel="00000000" w:rsidR="00000000" w:rsidRPr="00000000">
        <w:fldChar w:fldCharType="begin"/>
        <w:instrText xml:space="preserve"> HYPERLINK "https://charltonsquantum.com/quantum-updates-57-global-crypto-regulatory-enforcement-updates/" </w:instrText>
        <w:fldChar w:fldCharType="separate"/>
      </w:r>
      <w:r w:rsidDel="00000000" w:rsidR="00000000" w:rsidRPr="00000000">
        <w:rPr>
          <w:rtl w:val="0"/>
        </w:rPr>
      </w:r>
    </w:p>
    <w:p w:rsidR="00000000" w:rsidDel="00000000" w:rsidP="00000000" w:rsidRDefault="00000000" w:rsidRPr="00000000" w14:paraId="00000003">
      <w:pPr>
        <w:spacing w:after="200" w:lineRule="auto"/>
        <w:rPr>
          <w:b w:val="1"/>
          <w:bCs w:val="1"/>
          <w:color w:val="ff6e00"/>
        </w:rPr>
      </w:pPr>
      <w:r w:rsidDel="00000000" w:rsidR="00000000" w:rsidRPr="00000000">
        <w:fldChar w:fldCharType="end"/>
      </w:r>
      <w:r w:rsidDel="00000000" w:rsidR="00000000" w:rsidRPr="00000000">
        <w:rPr>
          <w:rtl w:val="0"/>
        </w:rPr>
      </w:r>
    </w:p>
    <w:p w:rsidR="00000000" w:rsidDel="00000000" w:rsidP="00000000" w:rsidRDefault="00000000" w:rsidRPr="00000000" w14:paraId="00000004">
      <w:pPr>
        <w:pStyle w:val="Title"/>
        <w:spacing w:after="200" w:lineRule="auto"/>
        <w:rPr/>
      </w:pPr>
      <w:bookmarkStart w:colFirst="0" w:colLast="0" w:name="_heading=h.ng8kg8w6i2cz" w:id="0"/>
      <w:bookmarkEnd w:id="0"/>
      <w:r w:rsidDel="00000000" w:rsidR="00000000" w:rsidRPr="00000000">
        <w:rPr>
          <w:rtl w:val="0"/>
        </w:rPr>
        <w:t xml:space="preserve">Australia ASIC Obtains Interim Travel Ban Against Blockchain Global Director Amid Ongoing Investigation</w:t>
      </w:r>
    </w:p>
    <w:p w:rsidR="00000000" w:rsidDel="00000000" w:rsidP="00000000" w:rsidRDefault="00000000" w:rsidRPr="00000000" w14:paraId="00000005">
      <w:pPr>
        <w:jc w:val="both"/>
        <w:rPr/>
      </w:pPr>
      <w:r w:rsidDel="00000000" w:rsidR="00000000" w:rsidRPr="00000000">
        <w:rPr>
          <w:rtl w:val="0"/>
        </w:rPr>
        <w:t xml:space="preserve">On 29 October 2025, the Australian Securities and Investments Commission (</w:t>
      </w:r>
      <w:r w:rsidDel="00000000" w:rsidR="00000000" w:rsidRPr="00000000">
        <w:rPr>
          <w:b w:val="1"/>
          <w:bCs w:val="1"/>
          <w:rtl w:val="0"/>
        </w:rPr>
        <w:t xml:space="preserve">ASIC</w:t>
      </w:r>
      <w:r w:rsidDel="00000000" w:rsidR="00000000" w:rsidRPr="00000000">
        <w:rPr>
          <w:rtl w:val="0"/>
        </w:rPr>
        <w:t xml:space="preserve">) announced that it had secured </w:t>
      </w:r>
      <w:hyperlink r:id="rId8">
        <w:r w:rsidDel="00000000" w:rsidR="00000000" w:rsidRPr="00000000">
          <w:rPr>
            <w:color w:val="ff6e00"/>
            <w:rtl w:val="0"/>
          </w:rPr>
          <w:t xml:space="preserve">interim travel restraint orders against Blockchain Global Limited</w:t>
        </w:r>
      </w:hyperlink>
      <w:r w:rsidDel="00000000" w:rsidR="00000000" w:rsidRPr="00000000">
        <w:rPr>
          <w:rtl w:val="0"/>
        </w:rPr>
        <w:t xml:space="preserve"> (in liquidation) director Zijing Xu, also known as Ryan Xu. The Federal Court of Australia issued the orders on 20 October 2025, prohibiting Mr Xu from leaving or attempting to leave Australia until 20 December 2025. ASIC sought the orders on an ex parte basis, meaning Mr Xu had not yet been heard by the Court, citing concerns arising from its ongoing investigation into the collapse of a crypto asset exchange formerly operated by Blockchain Global. The matter was initially listed for an inter partes hearing on 30 October 2025 but was subsequently varied by consent, extending the restraint until 28 November 2025.</w:t>
      </w:r>
    </w:p>
    <w:p w:rsidR="00000000" w:rsidDel="00000000" w:rsidP="00000000" w:rsidRDefault="00000000" w:rsidRPr="00000000" w14:paraId="00000006">
      <w:pPr>
        <w:pStyle w:val="Heading2"/>
        <w:jc w:val="both"/>
        <w:rPr/>
      </w:pPr>
      <w:bookmarkStart w:colFirst="0" w:colLast="0" w:name="_heading=h.9dpg2yn01fmh" w:id="1"/>
      <w:bookmarkEnd w:id="1"/>
      <w:r w:rsidDel="00000000" w:rsidR="00000000" w:rsidRPr="00000000">
        <w:rPr>
          <w:rtl w:val="0"/>
        </w:rPr>
        <w:t xml:space="preserve">ASIC’s Application and Court Orders</w:t>
      </w:r>
    </w:p>
    <w:p w:rsidR="00000000" w:rsidDel="00000000" w:rsidP="00000000" w:rsidRDefault="00000000" w:rsidRPr="00000000" w14:paraId="00000007">
      <w:pPr>
        <w:jc w:val="both"/>
        <w:rPr/>
      </w:pPr>
      <w:r w:rsidDel="00000000" w:rsidR="00000000" w:rsidRPr="00000000">
        <w:rPr>
          <w:i w:val="1"/>
          <w:iCs w:val="1"/>
          <w:rtl w:val="0"/>
        </w:rPr>
        <w:t xml:space="preserve">“The Federal Court’s orders made on 20 October 2025 prohibit Mr Xu from leaving or attempting to leave Australia until 20 December 2025.”</w:t>
      </w:r>
      <w:r w:rsidDel="00000000" w:rsidR="00000000" w:rsidRPr="00000000">
        <w:rPr>
          <w:rtl w:val="0"/>
        </w:rPr>
        <w:t xml:space="preserve"> ASIC’s application was made without notice to Mr Xu to prevent potential dissipation of evidence or evasion of investigative processes. The interim order restricts international travel until the Court fully hears submissions from both parties. The regulator’s investigation concerns the management and operation of Blockchain Global’s crypto asset exchange and related entities prior to the company’s collapse.</w:t>
      </w:r>
    </w:p>
    <w:p w:rsidR="00000000" w:rsidDel="00000000" w:rsidP="00000000" w:rsidRDefault="00000000" w:rsidRPr="00000000" w14:paraId="00000008">
      <w:pPr>
        <w:pStyle w:val="Heading2"/>
        <w:jc w:val="both"/>
        <w:rPr/>
      </w:pPr>
      <w:bookmarkStart w:colFirst="0" w:colLast="0" w:name="_heading=h.4qz21zwn307m" w:id="2"/>
      <w:bookmarkEnd w:id="2"/>
      <w:r w:rsidDel="00000000" w:rsidR="00000000" w:rsidRPr="00000000">
        <w:rPr>
          <w:rtl w:val="0"/>
        </w:rPr>
        <w:t xml:space="preserve">Background on Blockchain Global and the ACX Exchange</w:t>
      </w:r>
    </w:p>
    <w:p w:rsidR="00000000" w:rsidDel="00000000" w:rsidP="00000000" w:rsidRDefault="00000000" w:rsidRPr="00000000" w14:paraId="00000009">
      <w:pPr>
        <w:jc w:val="both"/>
        <w:rPr/>
      </w:pPr>
      <w:r w:rsidDel="00000000" w:rsidR="00000000" w:rsidRPr="00000000">
        <w:rPr>
          <w:i w:val="1"/>
          <w:iCs w:val="1"/>
          <w:rtl w:val="0"/>
        </w:rPr>
        <w:t xml:space="preserve">“From around January 2016 until its collapse in around December 2019, Blockchain Global operated a crypto asset exchange known as the ACX Exchange.”</w:t>
      </w:r>
      <w:r w:rsidDel="00000000" w:rsidR="00000000" w:rsidRPr="00000000">
        <w:rPr>
          <w:rtl w:val="0"/>
        </w:rPr>
        <w:t xml:space="preserve"> The exchange allowed customers to buy, sell, and store crypto assets and was among Australia’s earlier digital trading platforms. Blockchain Global entered liquidation on 11 February 2022 following insolvency concerns and allegations of mismanagement. ASIC’s ongoing investigation is examining potential breaches of financial services and corporations law connected to the firm’s operations and governance failures.</w:t>
      </w:r>
    </w:p>
    <w:p w:rsidR="00000000" w:rsidDel="00000000" w:rsidP="00000000" w:rsidRDefault="00000000" w:rsidRPr="00000000" w14:paraId="0000000A">
      <w:pPr>
        <w:jc w:val="both"/>
        <w:rPr>
          <w:rFonts w:ascii="Arial" w:cs="Arial" w:eastAsia="Arial" w:hAnsi="Arial"/>
          <w:sz w:val="21"/>
          <w:szCs w:val="21"/>
        </w:rPr>
      </w:pPr>
      <w:r w:rsidDel="00000000" w:rsidR="00000000" w:rsidRPr="00000000">
        <w:rPr>
          <w:rtl w:val="0"/>
        </w:rPr>
        <w:t xml:space="preserve">(Source: </w:t>
      </w:r>
      <w:hyperlink r:id="rId9">
        <w:r w:rsidDel="00000000" w:rsidR="00000000" w:rsidRPr="00000000">
          <w:rPr>
            <w:color w:val="ff6e00"/>
            <w:u w:val="single"/>
            <w:rtl w:val="0"/>
          </w:rPr>
          <w:t xml:space="preserve">https://www.asic.gov.au/about-asic/news-centre/find-a-media-release/2025-releases/25-251mr-asic-secures-interim-travel-restraint-orders-against-blockchain-global-director-ryan-xu/</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pStyle w:val="Title"/>
        <w:spacing w:after="200" w:lineRule="auto"/>
        <w:rPr/>
      </w:pPr>
      <w:bookmarkStart w:colFirst="0" w:colLast="0" w:name="_heading=h.4capf8ykn1c2" w:id="3"/>
      <w:bookmarkEnd w:id="3"/>
      <w:r w:rsidDel="00000000" w:rsidR="00000000" w:rsidRPr="00000000">
        <w:rPr>
          <w:rtl w:val="0"/>
        </w:rPr>
        <w:t xml:space="preserve">Australia ASIC Releases Summary of Consultation Feedback on Updated Digital Asset Guidance</w:t>
      </w:r>
    </w:p>
    <w:p w:rsidR="00000000" w:rsidDel="00000000" w:rsidP="00000000" w:rsidRDefault="00000000" w:rsidRPr="00000000" w14:paraId="0000000D">
      <w:pPr>
        <w:jc w:val="both"/>
        <w:rPr/>
      </w:pPr>
      <w:r w:rsidDel="00000000" w:rsidR="00000000" w:rsidRPr="00000000">
        <w:rPr>
          <w:rtl w:val="0"/>
        </w:rPr>
        <w:t xml:space="preserve">On 29 October 2025, the Australian Securities and Investments Commission (</w:t>
      </w:r>
      <w:r w:rsidDel="00000000" w:rsidR="00000000" w:rsidRPr="00000000">
        <w:rPr>
          <w:b w:val="1"/>
          <w:bCs w:val="1"/>
          <w:rtl w:val="0"/>
        </w:rPr>
        <w:t xml:space="preserve">ASIC</w:t>
      </w:r>
      <w:r w:rsidDel="00000000" w:rsidR="00000000" w:rsidRPr="00000000">
        <w:rPr>
          <w:rtl w:val="0"/>
        </w:rPr>
        <w:t xml:space="preserve">) published its summary of </w:t>
      </w:r>
      <w:hyperlink r:id="rId10">
        <w:r w:rsidDel="00000000" w:rsidR="00000000" w:rsidRPr="00000000">
          <w:rPr>
            <w:color w:val="ff6e00"/>
            <w:rtl w:val="0"/>
          </w:rPr>
          <w:t xml:space="preserve">industry and stakeholder feedback to Consultation Paper 381: Updates to INFO 225 Digital Assets – Financial Products and Services (</w:t>
        </w:r>
      </w:hyperlink>
      <w:hyperlink r:id="rId11">
        <w:r w:rsidDel="00000000" w:rsidR="00000000" w:rsidRPr="00000000">
          <w:rPr>
            <w:b w:val="1"/>
            <w:bCs w:val="1"/>
            <w:color w:val="ff6e00"/>
            <w:rtl w:val="0"/>
          </w:rPr>
          <w:t xml:space="preserve">CP 381</w:t>
        </w:r>
      </w:hyperlink>
      <w:hyperlink r:id="rId12">
        <w:r w:rsidDel="00000000" w:rsidR="00000000" w:rsidRPr="00000000">
          <w:rPr>
            <w:color w:val="ff6e00"/>
            <w:rtl w:val="0"/>
          </w:rPr>
          <w:t xml:space="preserve">)</w:t>
        </w:r>
      </w:hyperlink>
      <w:r w:rsidDel="00000000" w:rsidR="00000000" w:rsidRPr="00000000">
        <w:rPr>
          <w:rtl w:val="0"/>
        </w:rPr>
        <w:t xml:space="preserve">. The consultation sought industry views on ASIC’s proposed updates to Information Sheet 225 and its accompanying transitional framework for stablecoins, wrapped tokens, and digital asset intermediaries. The summary reflects input from 51 non-confidential respondents, covering financial institutions, digital asset service providers, consumer groups, and professional advisers. The feedback has informed ASIC’s decision to grant class no-action relief, extend transitional periods, and include additional examples in the updated guidance.</w:t>
      </w:r>
    </w:p>
    <w:p w:rsidR="00000000" w:rsidDel="00000000" w:rsidP="00000000" w:rsidRDefault="00000000" w:rsidRPr="00000000" w14:paraId="0000000E">
      <w:pPr>
        <w:pStyle w:val="Heading2"/>
        <w:jc w:val="both"/>
        <w:rPr/>
      </w:pPr>
      <w:bookmarkStart w:colFirst="0" w:colLast="0" w:name="_heading=h.l6lht44g1ow1" w:id="4"/>
      <w:bookmarkEnd w:id="4"/>
      <w:r w:rsidDel="00000000" w:rsidR="00000000" w:rsidRPr="00000000">
        <w:rPr>
          <w:rtl w:val="0"/>
        </w:rPr>
        <w:t xml:space="preserve">Temporary relief for intermediaries in relation to stablecoins and wrapped tokens is appropriate</w:t>
      </w:r>
    </w:p>
    <w:p w:rsidR="00000000" w:rsidDel="00000000" w:rsidP="00000000" w:rsidRDefault="00000000" w:rsidRPr="00000000" w14:paraId="0000000F">
      <w:pPr>
        <w:jc w:val="both"/>
        <w:rPr/>
      </w:pPr>
      <w:r w:rsidDel="00000000" w:rsidR="00000000" w:rsidRPr="00000000">
        <w:rPr>
          <w:i w:val="1"/>
          <w:iCs w:val="1"/>
          <w:rtl w:val="0"/>
        </w:rPr>
        <w:t xml:space="preserve">“Most respondents acknowledged that many stablecoins and wrapped tokens may be financial products under the current law.” </w:t>
      </w:r>
      <w:r w:rsidDel="00000000" w:rsidR="00000000" w:rsidRPr="00000000">
        <w:rPr>
          <w:rtl w:val="0"/>
        </w:rPr>
        <w:t xml:space="preserve">The majority of submissions supported transitional relief for unlicensed intermediaries dealing in stablecoins that are non-cash payment facilities and wrapped tokens that are derivatives. Respondents agreed this would enable continuity until the Government’s proposed reforms commence. Some participants, however, cautioned against premature licensing before legislative clarity. Others requested further details on the classification of stablecoins, particularly regarding when they may constitute derivatives or other financial products. ASIC confirmed that it would add illustrative examples of non-yield bearing stablecoins and wrapped tokens to INFO 225, while proceeding with transitional class relief for secondary distributors of eligible stablecoins and wrapped tokens. ASIC is seeking feedback on CS 32 Proposed relief for certain stablecoins and wrapped tokens, and extension of omnibus accounts for digital asset custody by 12 November 2025.</w:t>
      </w:r>
    </w:p>
    <w:p w:rsidR="00000000" w:rsidDel="00000000" w:rsidP="00000000" w:rsidRDefault="00000000" w:rsidRPr="00000000" w14:paraId="00000010">
      <w:pPr>
        <w:pStyle w:val="Heading2"/>
        <w:jc w:val="both"/>
        <w:rPr/>
      </w:pPr>
      <w:bookmarkStart w:colFirst="0" w:colLast="0" w:name="_heading=h.5qtd9udvpt70" w:id="5"/>
      <w:bookmarkEnd w:id="5"/>
      <w:r w:rsidDel="00000000" w:rsidR="00000000" w:rsidRPr="00000000">
        <w:rPr>
          <w:rtl w:val="0"/>
        </w:rPr>
        <w:t xml:space="preserve">More generous class no-action to ease the transition to licensing</w:t>
      </w:r>
    </w:p>
    <w:p w:rsidR="00000000" w:rsidDel="00000000" w:rsidP="00000000" w:rsidRDefault="00000000" w:rsidRPr="00000000" w14:paraId="00000011">
      <w:pPr>
        <w:jc w:val="both"/>
        <w:rPr/>
      </w:pPr>
      <w:r w:rsidDel="00000000" w:rsidR="00000000" w:rsidRPr="00000000">
        <w:rPr>
          <w:i w:val="1"/>
          <w:iCs w:val="1"/>
          <w:rtl w:val="0"/>
        </w:rPr>
        <w:t xml:space="preserve">“Respondents broadly supported a class no-action position, but with recommended revisions to the scope and conditions.”</w:t>
      </w:r>
      <w:r w:rsidDel="00000000" w:rsidR="00000000" w:rsidRPr="00000000">
        <w:rPr>
          <w:rtl w:val="0"/>
        </w:rPr>
        <w:t xml:space="preserve"> Industry participants called for extended application timelines of up to 24 months, inclusion of historical conduct, and broader eligibility for businesses entering discussions with ASIC or restructuring. ASIC has now issued a class no-action letter covering temporary non-enforcement for breaches of licensing requirements under the Australian Financial Services (</w:t>
      </w:r>
      <w:r w:rsidDel="00000000" w:rsidR="00000000" w:rsidRPr="00000000">
        <w:rPr>
          <w:b w:val="1"/>
          <w:bCs w:val="1"/>
          <w:rtl w:val="0"/>
        </w:rPr>
        <w:t xml:space="preserve">AFS</w:t>
      </w:r>
      <w:r w:rsidDel="00000000" w:rsidR="00000000" w:rsidRPr="00000000">
        <w:rPr>
          <w:rtl w:val="0"/>
        </w:rPr>
        <w:t xml:space="preserve">), Australian Market, and Clearing and Settlement (</w:t>
      </w:r>
      <w:r w:rsidDel="00000000" w:rsidR="00000000" w:rsidRPr="00000000">
        <w:rPr>
          <w:b w:val="1"/>
          <w:bCs w:val="1"/>
          <w:rtl w:val="0"/>
        </w:rPr>
        <w:t xml:space="preserve">CS</w:t>
      </w:r>
      <w:r w:rsidDel="00000000" w:rsidR="00000000" w:rsidRPr="00000000">
        <w:rPr>
          <w:rtl w:val="0"/>
        </w:rPr>
        <w:t xml:space="preserve">) frameworks. The lodgement window for AFS licence applications closes on 30 June 2026. The position excludes crypto lending or earn products and most crypto derivatives, except wrapped tokens. ASIC emphasised that the no-action relief does not preclude enforcement against misconduct causing consumer harm, market disruption, or fraud.</w:t>
      </w:r>
    </w:p>
    <w:p w:rsidR="00000000" w:rsidDel="00000000" w:rsidP="00000000" w:rsidRDefault="00000000" w:rsidRPr="00000000" w14:paraId="00000012">
      <w:pPr>
        <w:pStyle w:val="Heading2"/>
        <w:jc w:val="both"/>
        <w:rPr/>
      </w:pPr>
      <w:bookmarkStart w:colFirst="0" w:colLast="0" w:name="_heading=h.uiqgz98fgr1i" w:id="6"/>
      <w:bookmarkEnd w:id="6"/>
      <w:r w:rsidDel="00000000" w:rsidR="00000000" w:rsidRPr="00000000">
        <w:rPr>
          <w:rtl w:val="0"/>
        </w:rPr>
        <w:t xml:space="preserve">Hypothetical practical examples are useful but require greater depth</w:t>
      </w:r>
    </w:p>
    <w:p w:rsidR="00000000" w:rsidDel="00000000" w:rsidP="00000000" w:rsidRDefault="00000000" w:rsidRPr="00000000" w14:paraId="00000013">
      <w:pPr>
        <w:jc w:val="both"/>
        <w:rPr/>
      </w:pPr>
      <w:r w:rsidDel="00000000" w:rsidR="00000000" w:rsidRPr="00000000">
        <w:rPr>
          <w:i w:val="1"/>
          <w:iCs w:val="1"/>
          <w:rtl w:val="0"/>
        </w:rPr>
        <w:t xml:space="preserve">“Most respondents acknowledged the value of examples showing when a digital asset may be a financial product.” </w:t>
      </w:r>
      <w:r w:rsidDel="00000000" w:rsidR="00000000" w:rsidRPr="00000000">
        <w:rPr>
          <w:rtl w:val="0"/>
        </w:rPr>
        <w:t xml:space="preserve">Respondents requested deeper detail and additional examples covering bitcoin, ether, staking arrangements, wallets, and gold-linked tokens. ASIC has updated INFO 225 to include five new examples i.e. bitcoin, native proof-of-stake staking, tokenised real estate, wrapped tokens, and non-interest-bearing stablecoin, and revised five others, including managed staking, new blockchain, and yield-bearing stablecoins. ASIC consulted informally with select stakeholders before finalising the examples to ensure clarity and practical application.</w:t>
      </w:r>
    </w:p>
    <w:p w:rsidR="00000000" w:rsidDel="00000000" w:rsidP="00000000" w:rsidRDefault="00000000" w:rsidRPr="00000000" w14:paraId="00000014">
      <w:pPr>
        <w:pStyle w:val="Heading2"/>
        <w:jc w:val="both"/>
        <w:rPr/>
      </w:pPr>
      <w:bookmarkStart w:colFirst="0" w:colLast="0" w:name="_heading=h.lagw0kuvc24" w:id="7"/>
      <w:bookmarkEnd w:id="7"/>
      <w:r w:rsidDel="00000000" w:rsidR="00000000" w:rsidRPr="00000000">
        <w:rPr>
          <w:rtl w:val="0"/>
        </w:rPr>
        <w:t xml:space="preserve">Tailored licence obligations for digital asset businesses</w:t>
      </w:r>
    </w:p>
    <w:p w:rsidR="00000000" w:rsidDel="00000000" w:rsidP="00000000" w:rsidRDefault="00000000" w:rsidRPr="00000000" w14:paraId="00000015">
      <w:pPr>
        <w:jc w:val="both"/>
        <w:rPr/>
      </w:pPr>
      <w:r w:rsidDel="00000000" w:rsidR="00000000" w:rsidRPr="00000000">
        <w:rPr>
          <w:rtl w:val="0"/>
        </w:rPr>
        <w:t xml:space="preserve">Many submissions raised operational challenges with existing licensing obligations, including capital requirements for custodians, trust account rules amid debanking issues, difficulties obtaining professional indemnity insurance, and shortages of suitably qualified responsible managers. Respondents also highlighted uncertainty in applying design and distribution obligations to products without a defined issuer. ASIC has added explanatory guidance in INFO 225 to help digital asset businesses navigate these areas while transitioning to the licensing regime.</w:t>
      </w:r>
    </w:p>
    <w:p w:rsidR="00000000" w:rsidDel="00000000" w:rsidP="00000000" w:rsidRDefault="00000000" w:rsidRPr="00000000" w14:paraId="00000016">
      <w:pPr>
        <w:pStyle w:val="Heading2"/>
        <w:jc w:val="both"/>
        <w:rPr/>
      </w:pPr>
      <w:bookmarkStart w:colFirst="0" w:colLast="0" w:name="_heading=h.8hx6q4dgkfqn" w:id="8"/>
      <w:bookmarkEnd w:id="8"/>
      <w:r w:rsidDel="00000000" w:rsidR="00000000" w:rsidRPr="00000000">
        <w:rPr>
          <w:rtl w:val="0"/>
        </w:rPr>
        <w:t xml:space="preserve">Good practice guidance for custodial and depository services could be enhanced</w:t>
      </w:r>
    </w:p>
    <w:p w:rsidR="00000000" w:rsidDel="00000000" w:rsidP="00000000" w:rsidRDefault="00000000" w:rsidRPr="00000000" w14:paraId="00000017">
      <w:pPr>
        <w:jc w:val="both"/>
        <w:rPr/>
      </w:pPr>
      <w:r w:rsidDel="00000000" w:rsidR="00000000" w:rsidRPr="00000000">
        <w:rPr>
          <w:i w:val="1"/>
          <w:iCs w:val="1"/>
          <w:rtl w:val="0"/>
        </w:rPr>
        <w:t xml:space="preserve">“Overall, respondents agreed that INFO 225’s guidance applies to digital asset custodial and depository service providers – but want it to go further.” </w:t>
      </w:r>
      <w:r w:rsidDel="00000000" w:rsidR="00000000" w:rsidRPr="00000000">
        <w:rPr>
          <w:rtl w:val="0"/>
        </w:rPr>
        <w:t xml:space="preserve">Respondents requested greater clarity on when custody standards are triggered and how custody structures fit within the regulatory framework. ASIC reaffirmed that existing custodial standards apply to all financial products irrespective of technology, following a principles-based approach. It has also proposed relief to allow omnibus account arrangements for pooled client assets, as outlined in CS 32. Comments remain open until 12 November 2025.</w:t>
      </w:r>
    </w:p>
    <w:p w:rsidR="00000000" w:rsidDel="00000000" w:rsidP="00000000" w:rsidRDefault="00000000" w:rsidRPr="00000000" w14:paraId="00000018">
      <w:pPr>
        <w:pStyle w:val="Heading2"/>
        <w:jc w:val="both"/>
        <w:rPr/>
      </w:pPr>
      <w:bookmarkStart w:colFirst="0" w:colLast="0" w:name="_heading=h.wtsguroawqiv" w:id="9"/>
      <w:bookmarkEnd w:id="9"/>
      <w:r w:rsidDel="00000000" w:rsidR="00000000" w:rsidRPr="00000000">
        <w:rPr>
          <w:rtl w:val="0"/>
        </w:rPr>
        <w:t xml:space="preserve">Diverse views on alignment between guidance and proposed law reform</w:t>
      </w:r>
    </w:p>
    <w:p w:rsidR="00000000" w:rsidDel="00000000" w:rsidP="00000000" w:rsidRDefault="00000000" w:rsidRPr="00000000" w14:paraId="00000019">
      <w:pPr>
        <w:jc w:val="both"/>
        <w:rPr/>
      </w:pPr>
      <w:r w:rsidDel="00000000" w:rsidR="00000000" w:rsidRPr="00000000">
        <w:rPr>
          <w:rtl w:val="0"/>
        </w:rPr>
        <w:t xml:space="preserve">Submissions reflected differing opinions on whether ASIC should delay updates pending legislative reform or issue interim guidance. Some industry participants urged ASIC to align more closely with international regulators, while others argued for bespoke national rules addressing decentralised finance and smart contracts. Consumer advocates and law firms largely endorsed ASIC’s current approach, recognising the need for legal clarity under existing law. ASIC reaffirmed that its role is to administer the law as it stands while collaborating with Government on the forthcoming Digital Assets and Payments (</w:t>
      </w:r>
      <w:r w:rsidDel="00000000" w:rsidR="00000000" w:rsidRPr="00000000">
        <w:rPr>
          <w:b w:val="1"/>
          <w:bCs w:val="1"/>
          <w:rtl w:val="0"/>
        </w:rPr>
        <w:t xml:space="preserve">DAP</w:t>
      </w:r>
      <w:r w:rsidDel="00000000" w:rsidR="00000000" w:rsidRPr="00000000">
        <w:rPr>
          <w:rtl w:val="0"/>
        </w:rPr>
        <w:t xml:space="preserve">) reforms to complement Australia’s financial services framework. </w:t>
      </w:r>
    </w:p>
    <w:p w:rsidR="00000000" w:rsidDel="00000000" w:rsidP="00000000" w:rsidRDefault="00000000" w:rsidRPr="00000000" w14:paraId="0000001A">
      <w:pPr>
        <w:jc w:val="both"/>
        <w:rPr/>
      </w:pPr>
      <w:r w:rsidDel="00000000" w:rsidR="00000000" w:rsidRPr="00000000">
        <w:rPr>
          <w:rtl w:val="0"/>
        </w:rPr>
        <w:t xml:space="preserve">(Source: </w:t>
      </w:r>
      <w:hyperlink r:id="rId13">
        <w:r w:rsidDel="00000000" w:rsidR="00000000" w:rsidRPr="00000000">
          <w:rPr>
            <w:color w:val="ff6e00"/>
            <w:u w:val="single"/>
            <w:rtl w:val="0"/>
          </w:rPr>
          <w:t xml:space="preserve">https://www.asic.gov.au/regulatory-resources/find-a-document/consultations/cp-381-updates-to-info-225-digital-assets-financial-products-and-services/#summary</w:t>
        </w:r>
      </w:hyperlink>
      <w:r w:rsidDel="00000000" w:rsidR="00000000" w:rsidRPr="00000000">
        <w:rPr>
          <w:rtl w:val="0"/>
        </w:rPr>
        <w:t xml:space="preserve">)</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pStyle w:val="Title"/>
        <w:spacing w:after="200" w:lineRule="auto"/>
        <w:rPr/>
      </w:pPr>
      <w:bookmarkStart w:colFirst="0" w:colLast="0" w:name="_heading=h.8jjqn36zc0jg" w:id="10"/>
      <w:bookmarkEnd w:id="10"/>
      <w:r w:rsidDel="00000000" w:rsidR="00000000" w:rsidRPr="00000000">
        <w:rPr>
          <w:rtl w:val="0"/>
        </w:rPr>
        <w:t xml:space="preserve">Australia ASIC Clarifies Regulatory Framework for Digital Assets and Grants Transitional Relief to Support Innovation</w:t>
      </w:r>
    </w:p>
    <w:p w:rsidR="00000000" w:rsidDel="00000000" w:rsidP="00000000" w:rsidRDefault="00000000" w:rsidRPr="00000000" w14:paraId="0000001D">
      <w:pPr>
        <w:jc w:val="both"/>
        <w:rPr/>
      </w:pPr>
      <w:r w:rsidDel="00000000" w:rsidR="00000000" w:rsidRPr="00000000">
        <w:rPr>
          <w:rtl w:val="0"/>
        </w:rPr>
        <w:t xml:space="preserve">On 29 October 2025, the Australian Securities and Investments Commission (</w:t>
      </w:r>
      <w:r w:rsidDel="00000000" w:rsidR="00000000" w:rsidRPr="00000000">
        <w:rPr>
          <w:b w:val="1"/>
          <w:bCs w:val="1"/>
          <w:rtl w:val="0"/>
        </w:rPr>
        <w:t xml:space="preserve">ASIC</w:t>
      </w:r>
      <w:r w:rsidDel="00000000" w:rsidR="00000000" w:rsidRPr="00000000">
        <w:rPr>
          <w:rtl w:val="0"/>
        </w:rPr>
        <w:t xml:space="preserve">) published </w:t>
      </w:r>
      <w:hyperlink r:id="rId14">
        <w:r w:rsidDel="00000000" w:rsidR="00000000" w:rsidRPr="00000000">
          <w:rPr>
            <w:color w:val="ff6e00"/>
            <w:rtl w:val="0"/>
          </w:rPr>
          <w:t xml:space="preserve">updated guidance clarifying the application of existing financial services laws to digital assets</w:t>
        </w:r>
      </w:hyperlink>
      <w:r w:rsidDel="00000000" w:rsidR="00000000" w:rsidRPr="00000000">
        <w:rPr>
          <w:rtl w:val="0"/>
        </w:rPr>
        <w:t xml:space="preserve">, reinforcing investor protection while supporting innovation in Australia’s rapidly developing digital economy. The update extends ASIC’s </w:t>
      </w:r>
      <w:hyperlink r:id="rId15">
        <w:r w:rsidDel="00000000" w:rsidR="00000000" w:rsidRPr="00000000">
          <w:rPr>
            <w:color w:val="ff6e00"/>
            <w:rtl w:val="0"/>
          </w:rPr>
          <w:t xml:space="preserve">Information Sheet 225 Digital Assets: Financial Products and Services (</w:t>
        </w:r>
      </w:hyperlink>
      <w:hyperlink r:id="rId16">
        <w:r w:rsidDel="00000000" w:rsidR="00000000" w:rsidRPr="00000000">
          <w:rPr>
            <w:b w:val="1"/>
            <w:bCs w:val="1"/>
            <w:color w:val="ff6e00"/>
            <w:rtl w:val="0"/>
          </w:rPr>
          <w:t xml:space="preserve">INFO 225</w:t>
        </w:r>
      </w:hyperlink>
      <w:hyperlink r:id="rId17">
        <w:r w:rsidDel="00000000" w:rsidR="00000000" w:rsidRPr="00000000">
          <w:rPr>
            <w:color w:val="ff6e00"/>
            <w:rtl w:val="0"/>
          </w:rPr>
          <w:t xml:space="preserve">)</w:t>
        </w:r>
      </w:hyperlink>
      <w:r w:rsidDel="00000000" w:rsidR="00000000" w:rsidRPr="00000000">
        <w:rPr>
          <w:rtl w:val="0"/>
        </w:rPr>
        <w:t xml:space="preserve"> and confirms transitional support measures ahead of proposed digital asset law reforms. Stablecoins, wrapped tokens, tokenised securities, and digital asset wallets are confirmed as financial products under existing law. ASIC also introduced a sector-wide no-action position effective until 30 June 2026 and proposed targeted relief for digital asset distributors and custodians to ensure a smooth regulatory transition. The updated guidance is positioned to align with the Australian Government’s forthcoming Digital Assets and Payments (</w:t>
      </w:r>
      <w:r w:rsidDel="00000000" w:rsidR="00000000" w:rsidRPr="00000000">
        <w:rPr>
          <w:b w:val="1"/>
          <w:bCs w:val="1"/>
          <w:rtl w:val="0"/>
        </w:rPr>
        <w:t xml:space="preserve">DAP</w:t>
      </w:r>
      <w:r w:rsidDel="00000000" w:rsidR="00000000" w:rsidRPr="00000000">
        <w:rPr>
          <w:rtl w:val="0"/>
        </w:rPr>
        <w:t xml:space="preserve">) legislative framework, providing legal certainty and operational confidence to firms across the market.</w:t>
      </w:r>
    </w:p>
    <w:p w:rsidR="00000000" w:rsidDel="00000000" w:rsidP="00000000" w:rsidRDefault="00000000" w:rsidRPr="00000000" w14:paraId="0000001E">
      <w:pPr>
        <w:jc w:val="both"/>
        <w:rPr/>
      </w:pPr>
      <w:r w:rsidDel="00000000" w:rsidR="00000000" w:rsidRPr="00000000">
        <w:rPr>
          <w:rtl w:val="0"/>
        </w:rPr>
        <w:t xml:space="preserve">ASIC’s announcement reiterates that many widely traded digital assets qualify as financial products under current law, and this classification will persist under the Government’s forthcoming reforms. The framework ensures that providers engaging in such activities must hold an Australian Financial Services (</w:t>
      </w:r>
      <w:r w:rsidDel="00000000" w:rsidR="00000000" w:rsidRPr="00000000">
        <w:rPr>
          <w:b w:val="1"/>
          <w:bCs w:val="1"/>
          <w:rtl w:val="0"/>
        </w:rPr>
        <w:t xml:space="preserve">AFS</w:t>
      </w:r>
      <w:r w:rsidDel="00000000" w:rsidR="00000000" w:rsidRPr="00000000">
        <w:rPr>
          <w:rtl w:val="0"/>
        </w:rPr>
        <w:t xml:space="preserve">) licence, guaranteeing consumer protection and enabling regulatory intervention against misconduct. ASIC also confirmed it will consider the current no-action position when assessing historical conduct but will continue enforcement against egregious cases involving systemic harm or fraud.</w:t>
      </w:r>
    </w:p>
    <w:p w:rsidR="00000000" w:rsidDel="00000000" w:rsidP="00000000" w:rsidRDefault="00000000" w:rsidRPr="00000000" w14:paraId="0000001F">
      <w:pPr>
        <w:pStyle w:val="Heading2"/>
        <w:jc w:val="both"/>
        <w:rPr/>
      </w:pPr>
      <w:bookmarkStart w:colFirst="0" w:colLast="0" w:name="_heading=h.ytzhg47qvk9y" w:id="11"/>
      <w:bookmarkEnd w:id="11"/>
      <w:r w:rsidDel="00000000" w:rsidR="00000000" w:rsidRPr="00000000">
        <w:rPr>
          <w:rtl w:val="0"/>
        </w:rPr>
        <w:t xml:space="preserve">Transitional Support and No-Action Relief</w:t>
      </w:r>
    </w:p>
    <w:p w:rsidR="00000000" w:rsidDel="00000000" w:rsidP="00000000" w:rsidRDefault="00000000" w:rsidRPr="00000000" w14:paraId="00000020">
      <w:pPr>
        <w:jc w:val="both"/>
        <w:rPr/>
      </w:pPr>
      <w:r w:rsidDel="00000000" w:rsidR="00000000" w:rsidRPr="00000000">
        <w:rPr>
          <w:i w:val="1"/>
          <w:iCs w:val="1"/>
          <w:rtl w:val="0"/>
        </w:rPr>
        <w:t xml:space="preserve">“We recognise that firms will need time to consider the updated guidance and apply for licences, so ASIC has granted a sector-wide no-action position until 30 June 2026.” </w:t>
      </w:r>
      <w:r w:rsidDel="00000000" w:rsidR="00000000" w:rsidRPr="00000000">
        <w:rPr>
          <w:rtl w:val="0"/>
        </w:rPr>
        <w:t xml:space="preserve">ASIC outlined that this position provides temporary regulatory flexibility as the industry adjusts to the revised framework. It also proposed relief instruments for stablecoin and wrapped token distributors, and custodians of digital assets categorised as financial products. Public feedback on these instruments is invited until 12 November 2025. The regulator emphasised that these transitional measures are designed to maintain market stability while encouraging responsible compliance.</w:t>
      </w:r>
    </w:p>
    <w:p w:rsidR="00000000" w:rsidDel="00000000" w:rsidP="00000000" w:rsidRDefault="00000000" w:rsidRPr="00000000" w14:paraId="00000021">
      <w:pPr>
        <w:pStyle w:val="Heading2"/>
        <w:jc w:val="both"/>
        <w:rPr/>
      </w:pPr>
      <w:bookmarkStart w:colFirst="0" w:colLast="0" w:name="_heading=h.ey7ps4erdhbj" w:id="12"/>
      <w:bookmarkEnd w:id="12"/>
      <w:r w:rsidDel="00000000" w:rsidR="00000000" w:rsidRPr="00000000">
        <w:rPr>
          <w:rtl w:val="0"/>
        </w:rPr>
        <w:t xml:space="preserve">Consultation Process and Stakeholder Engagement</w:t>
      </w:r>
    </w:p>
    <w:p w:rsidR="00000000" w:rsidDel="00000000" w:rsidP="00000000" w:rsidRDefault="00000000" w:rsidRPr="00000000" w14:paraId="00000022">
      <w:pPr>
        <w:jc w:val="both"/>
        <w:rPr/>
      </w:pPr>
      <w:r w:rsidDel="00000000" w:rsidR="00000000" w:rsidRPr="00000000">
        <w:rPr>
          <w:rtl w:val="0"/>
        </w:rPr>
        <w:t xml:space="preserve">ASIC’s updated guidance reflects themes emerging from public submissions to Consultation Paper 381 Updates to INFO 225: Digital Assets: Financial Products and Services (</w:t>
      </w:r>
      <w:r w:rsidDel="00000000" w:rsidR="00000000" w:rsidRPr="00000000">
        <w:rPr>
          <w:b w:val="1"/>
          <w:bCs w:val="1"/>
          <w:rtl w:val="0"/>
        </w:rPr>
        <w:t xml:space="preserve">CP 381</w:t>
      </w:r>
      <w:r w:rsidDel="00000000" w:rsidR="00000000" w:rsidRPr="00000000">
        <w:rPr>
          <w:rtl w:val="0"/>
        </w:rPr>
        <w:t xml:space="preserve">), released in December 2024. The consultation sought views on when certain digital assets constitute financial products, the licensing requirements applicable to digital asset businesses, and possible relief mechanisms during the transition to the new DAP and payments regime. ASIC confirmed that stakeholder feedback directly informed both the no-action position and the inclusion of additional examples within the updated guidance.</w:t>
      </w:r>
    </w:p>
    <w:p w:rsidR="00000000" w:rsidDel="00000000" w:rsidP="00000000" w:rsidRDefault="00000000" w:rsidRPr="00000000" w14:paraId="00000023">
      <w:pPr>
        <w:pStyle w:val="Heading2"/>
        <w:jc w:val="both"/>
        <w:rPr/>
      </w:pPr>
      <w:bookmarkStart w:colFirst="0" w:colLast="0" w:name="_heading=h.yy0pw9a3tbtb" w:id="13"/>
      <w:bookmarkEnd w:id="13"/>
      <w:r w:rsidDel="00000000" w:rsidR="00000000" w:rsidRPr="00000000">
        <w:rPr>
          <w:rtl w:val="0"/>
        </w:rPr>
        <w:t xml:space="preserve">Scope and Target Audience</w:t>
      </w:r>
    </w:p>
    <w:p w:rsidR="00000000" w:rsidDel="00000000" w:rsidP="00000000" w:rsidRDefault="00000000" w:rsidRPr="00000000" w14:paraId="00000024">
      <w:pPr>
        <w:jc w:val="both"/>
        <w:rPr/>
      </w:pPr>
      <w:r w:rsidDel="00000000" w:rsidR="00000000" w:rsidRPr="00000000">
        <w:rPr>
          <w:rtl w:val="0"/>
        </w:rPr>
        <w:t xml:space="preserve">Originally issued in September 2017 and updated in 2018, 2019, and 2021, INFO 225 is directed at all firms involved in digital asset activities. These include established financial services and markets businesses exploring blockchain applications, new digital asset ventures, intermediaries and brokers, and professional advisers assisting them. The revised guidance explicitly applies to activities such as tokenisation of real-world assets, stablecoin issuance, and digital custody arrangements, each of which now falls under financial product regulation.</w:t>
      </w:r>
    </w:p>
    <w:p w:rsidR="00000000" w:rsidDel="00000000" w:rsidP="00000000" w:rsidRDefault="00000000" w:rsidRPr="00000000" w14:paraId="00000025">
      <w:pPr>
        <w:pStyle w:val="Heading2"/>
        <w:jc w:val="both"/>
        <w:rPr/>
      </w:pPr>
      <w:bookmarkStart w:colFirst="0" w:colLast="0" w:name="_heading=h.fbqremdcacup" w:id="14"/>
      <w:bookmarkEnd w:id="14"/>
      <w:r w:rsidDel="00000000" w:rsidR="00000000" w:rsidRPr="00000000">
        <w:rPr>
          <w:rtl w:val="0"/>
        </w:rPr>
        <w:t xml:space="preserve">Regulatory Context and Alignment with DAP Reforms</w:t>
      </w:r>
    </w:p>
    <w:p w:rsidR="00000000" w:rsidDel="00000000" w:rsidP="00000000" w:rsidRDefault="00000000" w:rsidRPr="00000000" w14:paraId="00000026">
      <w:pPr>
        <w:jc w:val="both"/>
        <w:rPr/>
      </w:pPr>
      <w:r w:rsidDel="00000000" w:rsidR="00000000" w:rsidRPr="00000000">
        <w:rPr>
          <w:rtl w:val="0"/>
        </w:rPr>
        <w:t xml:space="preserve">The updated INFO 225 complements the Australian Government’s proposed DAP reforms by providing immediate interpretive clarity on what constitutes a financial product or service under existing law. ASIC indicated that the guidance also builds on practical relief measures introduced earlier in 2025, including exemptions facilitating the Reserve Bank of Australia’s Project Acacia on wholesale tokenised asset markets and distribution relief for licensed stablecoin issuers.</w:t>
      </w:r>
    </w:p>
    <w:p w:rsidR="00000000" w:rsidDel="00000000" w:rsidP="00000000" w:rsidRDefault="00000000" w:rsidRPr="00000000" w14:paraId="00000027">
      <w:pPr>
        <w:pStyle w:val="Heading2"/>
        <w:jc w:val="both"/>
        <w:rPr/>
      </w:pPr>
      <w:bookmarkStart w:colFirst="0" w:colLast="0" w:name="_heading=h.1zyswz9y8w00" w:id="15"/>
      <w:bookmarkEnd w:id="15"/>
      <w:r w:rsidDel="00000000" w:rsidR="00000000" w:rsidRPr="00000000">
        <w:rPr>
          <w:rtl w:val="0"/>
        </w:rPr>
        <w:t xml:space="preserve">ASIC Commissioner’s Statement</w:t>
      </w:r>
    </w:p>
    <w:p w:rsidR="00000000" w:rsidDel="00000000" w:rsidP="00000000" w:rsidRDefault="00000000" w:rsidRPr="00000000" w14:paraId="00000028">
      <w:pPr>
        <w:jc w:val="both"/>
        <w:rPr>
          <w:i w:val="1"/>
          <w:iCs w:val="1"/>
        </w:rPr>
      </w:pPr>
      <w:r w:rsidDel="00000000" w:rsidR="00000000" w:rsidRPr="00000000">
        <w:rPr>
          <w:i w:val="1"/>
          <w:iCs w:val="1"/>
          <w:rtl w:val="0"/>
        </w:rPr>
        <w:t xml:space="preserve">“Distributed ledger technology and tokenisation are reshaping global finance. ASIC’s guidance provides the regulatory clarity that firms have been calling for to innovate confidently in Australia,”</w:t>
      </w:r>
      <w:r w:rsidDel="00000000" w:rsidR="00000000" w:rsidRPr="00000000">
        <w:rPr>
          <w:rtl w:val="0"/>
        </w:rPr>
        <w:t xml:space="preserve"> said ASIC Commissioner Alan Kirkland. He further stated, </w:t>
      </w:r>
      <w:r w:rsidDel="00000000" w:rsidR="00000000" w:rsidRPr="00000000">
        <w:rPr>
          <w:i w:val="1"/>
          <w:iCs w:val="1"/>
          <w:rtl w:val="0"/>
        </w:rPr>
        <w:t xml:space="preserve">“Many widely traded digital assets are financial products under current law and will remain so under the Government’s proposed law reform meaning many providers require a financial services licence. Licensing ensures consumers receive the full suite of protections under the law and allows ASIC to act when poor practices lead to harm.”</w:t>
      </w:r>
    </w:p>
    <w:p w:rsidR="00000000" w:rsidDel="00000000" w:rsidP="00000000" w:rsidRDefault="00000000" w:rsidRPr="00000000" w14:paraId="00000029">
      <w:pPr>
        <w:jc w:val="both"/>
        <w:rPr>
          <w:rFonts w:ascii="Arial" w:cs="Arial" w:eastAsia="Arial" w:hAnsi="Arial"/>
          <w:sz w:val="21"/>
          <w:szCs w:val="21"/>
        </w:rPr>
      </w:pPr>
      <w:r w:rsidDel="00000000" w:rsidR="00000000" w:rsidRPr="00000000">
        <w:rPr>
          <w:rtl w:val="0"/>
        </w:rPr>
        <w:t xml:space="preserve">(Source: </w:t>
      </w:r>
      <w:hyperlink r:id="rId18">
        <w:r w:rsidDel="00000000" w:rsidR="00000000" w:rsidRPr="00000000">
          <w:rPr>
            <w:color w:val="ff6e00"/>
            <w:u w:val="single"/>
            <w:rtl w:val="0"/>
          </w:rPr>
          <w:t xml:space="preserve">https://www.asic.gov.au/about-asic/news-centre/find-a-media-release/2025-releases/25-250mr-updated-asic-guidance-supports-digital-asset-innovation-and-boosts-investor-protection/</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pStyle w:val="Title"/>
        <w:spacing w:after="200" w:lineRule="auto"/>
        <w:rPr/>
      </w:pPr>
      <w:bookmarkStart w:colFirst="0" w:colLast="0" w:name="_heading=h.sal6d8k773v" w:id="16"/>
      <w:bookmarkEnd w:id="16"/>
      <w:r w:rsidDel="00000000" w:rsidR="00000000" w:rsidRPr="00000000">
        <w:rPr>
          <w:rtl w:val="0"/>
        </w:rPr>
        <w:t xml:space="preserve">Monetary Authority of Singapore Consults on Enhanced Investor Recourse for Market Misconduct: Proposed Civil Compensation Framework</w:t>
      </w:r>
    </w:p>
    <w:p w:rsidR="00000000" w:rsidDel="00000000" w:rsidP="00000000" w:rsidRDefault="00000000" w:rsidRPr="00000000" w14:paraId="0000002C">
      <w:pPr>
        <w:jc w:val="both"/>
        <w:rPr/>
      </w:pPr>
      <w:r w:rsidDel="00000000" w:rsidR="00000000" w:rsidRPr="00000000">
        <w:rPr>
          <w:rtl w:val="0"/>
        </w:rPr>
        <w:t xml:space="preserve">On 24 October 2025, the Monetary Authority of Singapore (</w:t>
      </w:r>
      <w:r w:rsidDel="00000000" w:rsidR="00000000" w:rsidRPr="00000000">
        <w:rPr>
          <w:b w:val="1"/>
          <w:bCs w:val="1"/>
          <w:rtl w:val="0"/>
        </w:rPr>
        <w:t xml:space="preserve">MAS</w:t>
      </w:r>
      <w:r w:rsidDel="00000000" w:rsidR="00000000" w:rsidRPr="00000000">
        <w:rPr>
          <w:rtl w:val="0"/>
        </w:rPr>
        <w:t xml:space="preserve">) issued a public consultation paper proposing a framework to strengthen investors’ ability to seek civil compensation for losses arising from market misconduct. The initiative follows recommendations by the Equities Market Review Group to boost investor protection, encourage participation in Singapore’s equities markets, and sustain confidence through better recourse mechanisms. MAS’s consultation seeks to address structural and financial barriers faced by retail investors pursuing legitimate claims, while implementing safeguards against frivolous or opportunistic litigation.</w:t>
      </w:r>
    </w:p>
    <w:p w:rsidR="00000000" w:rsidDel="00000000" w:rsidP="00000000" w:rsidRDefault="00000000" w:rsidRPr="00000000" w14:paraId="0000002D">
      <w:pPr>
        <w:jc w:val="both"/>
        <w:rPr/>
      </w:pPr>
      <w:r w:rsidDel="00000000" w:rsidR="00000000" w:rsidRPr="00000000">
        <w:rPr>
          <w:rtl w:val="0"/>
        </w:rPr>
        <w:t xml:space="preserve">The consultation reflects MAS’s recognition that a fair and accessible investor redress system is essential to a well-functioning capital market. MAS notes that retail investors often face challenges in initiating civil proceedings due to collective coordination difficulties and the high costs of litigation. The proposed framework introduces mechanisms to improve self-organisation, funding access, and procedural simplicity. Together, these measures aim to make civil compensation a realistic avenue for investors affected by market misconduct such as misstatements, insider trading, or manipulation.</w:t>
      </w:r>
    </w:p>
    <w:p w:rsidR="00000000" w:rsidDel="00000000" w:rsidP="00000000" w:rsidRDefault="00000000" w:rsidRPr="00000000" w14:paraId="0000002E">
      <w:pPr>
        <w:pStyle w:val="Heading2"/>
        <w:jc w:val="both"/>
        <w:rPr/>
      </w:pPr>
      <w:bookmarkStart w:colFirst="0" w:colLast="0" w:name="_heading=h.7pucfm4rg8ze" w:id="17"/>
      <w:bookmarkEnd w:id="17"/>
      <w:r w:rsidDel="00000000" w:rsidR="00000000" w:rsidRPr="00000000">
        <w:rPr>
          <w:rtl w:val="0"/>
        </w:rPr>
        <w:t xml:space="preserve">Regulatory Interpretation</w:t>
      </w:r>
    </w:p>
    <w:p w:rsidR="00000000" w:rsidDel="00000000" w:rsidP="00000000" w:rsidRDefault="00000000" w:rsidRPr="00000000" w14:paraId="0000002F">
      <w:pPr>
        <w:jc w:val="both"/>
        <w:rPr/>
      </w:pPr>
      <w:r w:rsidDel="00000000" w:rsidR="00000000" w:rsidRPr="00000000">
        <w:rPr>
          <w:rtl w:val="0"/>
        </w:rPr>
        <w:t xml:space="preserve">The proposals is a structural expansion of Singapore’s investor protection architecture, complementing MAS’s public enforcement powers under the Securities and Futures Act 2001 (</w:t>
      </w:r>
      <w:r w:rsidDel="00000000" w:rsidR="00000000" w:rsidRPr="00000000">
        <w:rPr>
          <w:b w:val="1"/>
          <w:bCs w:val="1"/>
          <w:rtl w:val="0"/>
        </w:rPr>
        <w:t xml:space="preserve">SFA</w:t>
      </w:r>
      <w:r w:rsidDel="00000000" w:rsidR="00000000" w:rsidRPr="00000000">
        <w:rPr>
          <w:rtl w:val="0"/>
        </w:rPr>
        <w:t xml:space="preserve">). While the SFA provides for civil penalties and criminal prosecution of market misconduct, individual investors have limited private recourse. MAS now seeks to bridge this enforcement gap by making compensation claims more accessible through collective representation, funding assistance, and procedural simplification. The initiative also balances investor empowerment with judicial efficiency by embedding safeguards against speculative or non-meritorious actions.</w:t>
      </w:r>
    </w:p>
    <w:p w:rsidR="00000000" w:rsidDel="00000000" w:rsidP="00000000" w:rsidRDefault="00000000" w:rsidRPr="00000000" w14:paraId="00000030">
      <w:pPr>
        <w:pStyle w:val="Heading2"/>
        <w:jc w:val="both"/>
        <w:rPr/>
      </w:pPr>
      <w:bookmarkStart w:colFirst="0" w:colLast="0" w:name="_heading=h.jase4drrwdbq" w:id="18"/>
      <w:bookmarkEnd w:id="18"/>
      <w:r w:rsidDel="00000000" w:rsidR="00000000" w:rsidRPr="00000000">
        <w:rPr>
          <w:rtl w:val="0"/>
        </w:rPr>
        <w:t xml:space="preserve">Three Core Proposals and Compliance Interpretation</w:t>
      </w:r>
    </w:p>
    <w:p w:rsidR="00000000" w:rsidDel="00000000" w:rsidP="00000000" w:rsidRDefault="00000000" w:rsidRPr="00000000" w14:paraId="00000031">
      <w:pPr>
        <w:numPr>
          <w:ilvl w:val="0"/>
          <w:numId w:val="5"/>
        </w:numPr>
        <w:ind w:left="720" w:hanging="360"/>
        <w:jc w:val="both"/>
      </w:pPr>
      <w:r w:rsidDel="00000000" w:rsidR="00000000" w:rsidRPr="00000000">
        <w:rPr>
          <w:b w:val="1"/>
          <w:bCs w:val="1"/>
          <w:rtl w:val="0"/>
        </w:rPr>
        <w:t xml:space="preserve">Facilitating self-organisation</w:t>
      </w:r>
      <w:r w:rsidDel="00000000" w:rsidR="00000000" w:rsidRPr="00000000">
        <w:rPr>
          <w:rtl w:val="0"/>
        </w:rPr>
        <w:t xml:space="preserve">: Under existing law, affected investors can bring collective action but face challenges coordinating representation. MAS proposes the introduction of a Designated Representative Mechanism — an independent entity authorised to organise and represent investors in civil proceedings. To prevent misuse, the designated representative must have no financial interest or conflict of interest and must meet prescribed eligibility standards. This mechanism enhances procedural efficiency, lowers transaction costs, and promotes fair representation while maintaining judicial oversight.</w:t>
      </w:r>
    </w:p>
    <w:p w:rsidR="00000000" w:rsidDel="00000000" w:rsidP="00000000" w:rsidRDefault="00000000" w:rsidRPr="00000000" w14:paraId="00000032">
      <w:pPr>
        <w:numPr>
          <w:ilvl w:val="0"/>
          <w:numId w:val="5"/>
        </w:numPr>
        <w:ind w:left="720" w:hanging="360"/>
        <w:jc w:val="both"/>
      </w:pPr>
      <w:r w:rsidDel="00000000" w:rsidR="00000000" w:rsidRPr="00000000">
        <w:rPr>
          <w:b w:val="1"/>
          <w:bCs w:val="1"/>
          <w:rtl w:val="0"/>
        </w:rPr>
        <w:t xml:space="preserve">Providing access to funding</w:t>
      </w:r>
      <w:r w:rsidDel="00000000" w:rsidR="00000000" w:rsidRPr="00000000">
        <w:rPr>
          <w:rtl w:val="0"/>
        </w:rPr>
        <w:t xml:space="preserve">: Recognising that cost is a key deterrent, MAS proposes a grant scheme to co-fund credible investor actions. The scheme would partially defray the expenses of complex litigation, including expert testimony and financial analysis. To ensure prudence, the scheme will include co-payment requirements, eligibility filters, and governance controls. The aim is to facilitate legitimate claims while discouraging opportunistic suits that could strain market integrity.</w:t>
      </w:r>
    </w:p>
    <w:p w:rsidR="00000000" w:rsidDel="00000000" w:rsidP="00000000" w:rsidRDefault="00000000" w:rsidRPr="00000000" w14:paraId="00000033">
      <w:pPr>
        <w:numPr>
          <w:ilvl w:val="0"/>
          <w:numId w:val="5"/>
        </w:numPr>
        <w:ind w:left="720" w:hanging="360"/>
        <w:jc w:val="both"/>
      </w:pPr>
      <w:r w:rsidDel="00000000" w:rsidR="00000000" w:rsidRPr="00000000">
        <w:rPr>
          <w:b w:val="1"/>
          <w:bCs w:val="1"/>
          <w:rtl w:val="0"/>
        </w:rPr>
        <w:t xml:space="preserve">Reducing legal barriers to civil action</w:t>
      </w:r>
      <w:r w:rsidDel="00000000" w:rsidR="00000000" w:rsidRPr="00000000">
        <w:rPr>
          <w:rtl w:val="0"/>
        </w:rPr>
        <w:t xml:space="preserve">: MAS seeks to refine the “piggyback claim” provisions under the SFA, which currently allow investors to claim compensation following a criminal conviction or civil penalty order. The proposed refinements would:</w:t>
      </w:r>
    </w:p>
    <w:p w:rsidR="00000000" w:rsidDel="00000000" w:rsidP="00000000" w:rsidRDefault="00000000" w:rsidRPr="00000000" w14:paraId="00000034">
      <w:pPr>
        <w:numPr>
          <w:ilvl w:val="1"/>
          <w:numId w:val="5"/>
        </w:numPr>
        <w:ind w:left="1080" w:hanging="360"/>
        <w:jc w:val="both"/>
      </w:pPr>
      <w:r w:rsidDel="00000000" w:rsidR="00000000" w:rsidRPr="00000000">
        <w:rPr>
          <w:rtl w:val="0"/>
        </w:rPr>
        <w:t xml:space="preserve">Extend the basis for claims to include default judgments, consent orders, and civil penalty settlements involving admission of liability.</w:t>
      </w:r>
    </w:p>
    <w:p w:rsidR="00000000" w:rsidDel="00000000" w:rsidP="00000000" w:rsidRDefault="00000000" w:rsidRPr="00000000" w14:paraId="00000035">
      <w:pPr>
        <w:numPr>
          <w:ilvl w:val="1"/>
          <w:numId w:val="5"/>
        </w:numPr>
        <w:ind w:left="1080" w:hanging="360"/>
        <w:jc w:val="both"/>
      </w:pPr>
      <w:r w:rsidDel="00000000" w:rsidR="00000000" w:rsidRPr="00000000">
        <w:rPr>
          <w:rtl w:val="0"/>
        </w:rPr>
        <w:t xml:space="preserve">Simplify procedural requirements so investors can pursue claims without excessive legal complexity.</w:t>
      </w:r>
    </w:p>
    <w:p w:rsidR="00000000" w:rsidDel="00000000" w:rsidP="00000000" w:rsidRDefault="00000000" w:rsidRPr="00000000" w14:paraId="00000036">
      <w:pPr>
        <w:numPr>
          <w:ilvl w:val="1"/>
          <w:numId w:val="5"/>
        </w:numPr>
        <w:ind w:left="1080" w:hanging="360"/>
        <w:jc w:val="both"/>
      </w:pPr>
      <w:r w:rsidDel="00000000" w:rsidR="00000000" w:rsidRPr="00000000">
        <w:rPr>
          <w:rtl w:val="0"/>
        </w:rPr>
        <w:t xml:space="preserve">Ease the burden of proof of reliance in cases of misleading statements or omissions.</w:t>
      </w:r>
    </w:p>
    <w:p w:rsidR="00000000" w:rsidDel="00000000" w:rsidP="00000000" w:rsidRDefault="00000000" w:rsidRPr="00000000" w14:paraId="00000037">
      <w:pPr>
        <w:numPr>
          <w:ilvl w:val="1"/>
          <w:numId w:val="5"/>
        </w:numPr>
        <w:ind w:left="1080" w:hanging="360"/>
        <w:jc w:val="both"/>
      </w:pPr>
      <w:r w:rsidDel="00000000" w:rsidR="00000000" w:rsidRPr="00000000">
        <w:rPr>
          <w:rtl w:val="0"/>
        </w:rPr>
        <w:t xml:space="preserve">Remove statutory caps on compensation to allow courts full discretion in assessing damages based on case-specific evidence.</w:t>
      </w:r>
    </w:p>
    <w:p w:rsidR="00000000" w:rsidDel="00000000" w:rsidP="00000000" w:rsidRDefault="00000000" w:rsidRPr="00000000" w14:paraId="00000038">
      <w:pPr>
        <w:pStyle w:val="Heading2"/>
        <w:jc w:val="both"/>
        <w:rPr/>
      </w:pPr>
      <w:bookmarkStart w:colFirst="0" w:colLast="0" w:name="_heading=h.6pqiigjzk72u" w:id="19"/>
      <w:bookmarkEnd w:id="19"/>
      <w:r w:rsidDel="00000000" w:rsidR="00000000" w:rsidRPr="00000000">
        <w:rPr>
          <w:rtl w:val="0"/>
        </w:rPr>
        <w:t xml:space="preserve">Background</w:t>
      </w:r>
    </w:p>
    <w:p w:rsidR="00000000" w:rsidDel="00000000" w:rsidP="00000000" w:rsidRDefault="00000000" w:rsidRPr="00000000" w14:paraId="00000039">
      <w:pPr>
        <w:numPr>
          <w:ilvl w:val="0"/>
          <w:numId w:val="1"/>
        </w:numPr>
        <w:ind w:left="720" w:hanging="360"/>
        <w:jc w:val="both"/>
      </w:pPr>
      <w:r w:rsidDel="00000000" w:rsidR="00000000" w:rsidRPr="00000000">
        <w:rPr>
          <w:b w:val="1"/>
          <w:bCs w:val="1"/>
          <w:rtl w:val="0"/>
        </w:rPr>
        <w:t xml:space="preserve">February 2025</w:t>
      </w:r>
      <w:r w:rsidDel="00000000" w:rsidR="00000000" w:rsidRPr="00000000">
        <w:rPr>
          <w:rtl w:val="0"/>
        </w:rPr>
        <w:t xml:space="preserve">: Equities Market Review Group announced first package of measures to strengthen Singapore’s equities market.</w:t>
      </w:r>
    </w:p>
    <w:p w:rsidR="00000000" w:rsidDel="00000000" w:rsidP="00000000" w:rsidRDefault="00000000" w:rsidRPr="00000000" w14:paraId="0000003A">
      <w:pPr>
        <w:numPr>
          <w:ilvl w:val="0"/>
          <w:numId w:val="1"/>
        </w:numPr>
        <w:ind w:left="720" w:hanging="360"/>
        <w:jc w:val="both"/>
      </w:pPr>
      <w:r w:rsidDel="00000000" w:rsidR="00000000" w:rsidRPr="00000000">
        <w:rPr>
          <w:b w:val="1"/>
          <w:bCs w:val="1"/>
          <w:rtl w:val="0"/>
        </w:rPr>
        <w:t xml:space="preserve">July 2025</w:t>
      </w:r>
      <w:r w:rsidDel="00000000" w:rsidR="00000000" w:rsidRPr="00000000">
        <w:rPr>
          <w:rtl w:val="0"/>
        </w:rPr>
        <w:t xml:space="preserve">: MAS unveiled additional measures and signalled intention to enhance investor recourse.</w:t>
      </w:r>
    </w:p>
    <w:p w:rsidR="00000000" w:rsidDel="00000000" w:rsidP="00000000" w:rsidRDefault="00000000" w:rsidRPr="00000000" w14:paraId="0000003B">
      <w:pPr>
        <w:numPr>
          <w:ilvl w:val="0"/>
          <w:numId w:val="1"/>
        </w:numPr>
        <w:ind w:left="720" w:hanging="360"/>
        <w:jc w:val="both"/>
      </w:pPr>
      <w:r w:rsidDel="00000000" w:rsidR="00000000" w:rsidRPr="00000000">
        <w:rPr>
          <w:b w:val="1"/>
          <w:bCs w:val="1"/>
          <w:rtl w:val="0"/>
        </w:rPr>
        <w:t xml:space="preserve">October 2025</w:t>
      </w:r>
      <w:r w:rsidDel="00000000" w:rsidR="00000000" w:rsidRPr="00000000">
        <w:rPr>
          <w:rtl w:val="0"/>
        </w:rPr>
        <w:t xml:space="preserve">: MAS issued public consultation on investor compensation framework, with feedback due by 31 December 2025.</w:t>
      </w:r>
    </w:p>
    <w:p w:rsidR="00000000" w:rsidDel="00000000" w:rsidP="00000000" w:rsidRDefault="00000000" w:rsidRPr="00000000" w14:paraId="0000003C">
      <w:pPr>
        <w:jc w:val="both"/>
        <w:rPr>
          <w:rFonts w:ascii="Arial" w:cs="Arial" w:eastAsia="Arial" w:hAnsi="Arial"/>
          <w:sz w:val="21"/>
          <w:szCs w:val="21"/>
        </w:rPr>
      </w:pPr>
      <w:r w:rsidDel="00000000" w:rsidR="00000000" w:rsidRPr="00000000">
        <w:rPr>
          <w:rtl w:val="0"/>
        </w:rPr>
        <w:t xml:space="preserve">(Source: </w:t>
      </w:r>
      <w:hyperlink r:id="rId19">
        <w:r w:rsidDel="00000000" w:rsidR="00000000" w:rsidRPr="00000000">
          <w:rPr>
            <w:color w:val="ff6e00"/>
            <w:u w:val="single"/>
            <w:rtl w:val="0"/>
          </w:rPr>
          <w:t xml:space="preserve">https://www.mas.gov.sg/news/media-releases/2025/mas-consults-on-measures-to-enhance-investors-ability-to-seek-civil-compensation</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pStyle w:val="Title"/>
        <w:spacing w:after="200" w:lineRule="auto"/>
        <w:rPr/>
      </w:pPr>
      <w:bookmarkStart w:colFirst="0" w:colLast="0" w:name="_heading=h.x8j2k9m87j0" w:id="20"/>
      <w:bookmarkEnd w:id="20"/>
      <w:r w:rsidDel="00000000" w:rsidR="00000000" w:rsidRPr="00000000">
        <w:rPr>
          <w:rtl w:val="0"/>
        </w:rPr>
        <w:t xml:space="preserve">Monetary Authority of Singapore Announces Finalists for the 2025 Global FinTech Hackcelerator and FinTech Excellence Awards</w:t>
      </w:r>
    </w:p>
    <w:p w:rsidR="00000000" w:rsidDel="00000000" w:rsidP="00000000" w:rsidRDefault="00000000" w:rsidRPr="00000000" w14:paraId="0000003F">
      <w:pPr>
        <w:jc w:val="both"/>
        <w:rPr/>
      </w:pPr>
      <w:r w:rsidDel="00000000" w:rsidR="00000000" w:rsidRPr="00000000">
        <w:rPr>
          <w:rtl w:val="0"/>
        </w:rPr>
        <w:t xml:space="preserve">On 21 October 2025, the Monetary Authority of Singapore (</w:t>
      </w:r>
      <w:r w:rsidDel="00000000" w:rsidR="00000000" w:rsidRPr="00000000">
        <w:rPr>
          <w:b w:val="1"/>
          <w:bCs w:val="1"/>
          <w:rtl w:val="0"/>
        </w:rPr>
        <w:t xml:space="preserve">MAS</w:t>
      </w:r>
      <w:r w:rsidDel="00000000" w:rsidR="00000000" w:rsidRPr="00000000">
        <w:rPr>
          <w:rtl w:val="0"/>
        </w:rPr>
        <w:t xml:space="preserve">) published the 42 finalists for the </w:t>
      </w:r>
      <w:hyperlink r:id="rId20">
        <w:r w:rsidDel="00000000" w:rsidR="00000000" w:rsidRPr="00000000">
          <w:rPr>
            <w:color w:val="ff6e00"/>
            <w:rtl w:val="0"/>
          </w:rPr>
          <w:t xml:space="preserve">2025 Global FinTech Hackcelerator</w:t>
        </w:r>
      </w:hyperlink>
      <w:r w:rsidDel="00000000" w:rsidR="00000000" w:rsidRPr="00000000">
        <w:rPr>
          <w:rtl w:val="0"/>
        </w:rPr>
        <w:t xml:space="preserve"> and the </w:t>
      </w:r>
      <w:hyperlink r:id="rId21">
        <w:r w:rsidDel="00000000" w:rsidR="00000000" w:rsidRPr="00000000">
          <w:rPr>
            <w:color w:val="ff6e00"/>
            <w:rtl w:val="0"/>
          </w:rPr>
          <w:t xml:space="preserve">Singapore FinTech Festival (</w:t>
        </w:r>
      </w:hyperlink>
      <w:hyperlink r:id="rId22">
        <w:r w:rsidDel="00000000" w:rsidR="00000000" w:rsidRPr="00000000">
          <w:rPr>
            <w:b w:val="1"/>
            <w:bCs w:val="1"/>
            <w:color w:val="ff6e00"/>
            <w:rtl w:val="0"/>
          </w:rPr>
          <w:t xml:space="preserve">SFF</w:t>
        </w:r>
      </w:hyperlink>
      <w:hyperlink r:id="rId23">
        <w:r w:rsidDel="00000000" w:rsidR="00000000" w:rsidRPr="00000000">
          <w:rPr>
            <w:color w:val="ff6e00"/>
            <w:rtl w:val="0"/>
          </w:rPr>
          <w:t xml:space="preserve">) FinTech Excellence Awards</w:t>
        </w:r>
      </w:hyperlink>
      <w:r w:rsidDel="00000000" w:rsidR="00000000" w:rsidRPr="00000000">
        <w:rPr>
          <w:rtl w:val="0"/>
        </w:rPr>
        <w:t xml:space="preserve">. The winners will be announced at the SFF FinTech Excellence Awards Dinner on 13 November 2025, celebrating a decade of pioneering achievements in financial technology.</w:t>
      </w:r>
    </w:p>
    <w:p w:rsidR="00000000" w:rsidDel="00000000" w:rsidP="00000000" w:rsidRDefault="00000000" w:rsidRPr="00000000" w14:paraId="00000040">
      <w:pPr>
        <w:jc w:val="both"/>
        <w:rPr/>
      </w:pPr>
      <w:r w:rsidDel="00000000" w:rsidR="00000000" w:rsidRPr="00000000">
        <w:rPr>
          <w:rtl w:val="0"/>
        </w:rPr>
        <w:t xml:space="preserve">The Global FinTech Hackcelerator 2025, organised by MAS in collaboration with the Global Finance Technology Network (</w:t>
      </w:r>
      <w:r w:rsidDel="00000000" w:rsidR="00000000" w:rsidRPr="00000000">
        <w:rPr>
          <w:b w:val="1"/>
          <w:bCs w:val="1"/>
          <w:rtl w:val="0"/>
        </w:rPr>
        <w:t xml:space="preserve">GFTN</w:t>
      </w:r>
      <w:r w:rsidDel="00000000" w:rsidR="00000000" w:rsidRPr="00000000">
        <w:rPr>
          <w:rtl w:val="0"/>
        </w:rPr>
        <w:t xml:space="preserve">), revolves around the theme </w:t>
      </w:r>
      <w:r w:rsidDel="00000000" w:rsidR="00000000" w:rsidRPr="00000000">
        <w:rPr>
          <w:i w:val="1"/>
          <w:iCs w:val="1"/>
          <w:rtl w:val="0"/>
        </w:rPr>
        <w:t xml:space="preserve">“Artificial Intelligence (</w:t>
      </w:r>
      <w:r w:rsidDel="00000000" w:rsidR="00000000" w:rsidRPr="00000000">
        <w:rPr>
          <w:b w:val="1"/>
          <w:bCs w:val="1"/>
          <w:i w:val="1"/>
          <w:iCs w:val="1"/>
          <w:rtl w:val="0"/>
        </w:rPr>
        <w:t xml:space="preserve">AI</w:t>
      </w:r>
      <w:r w:rsidDel="00000000" w:rsidR="00000000" w:rsidRPr="00000000">
        <w:rPr>
          <w:i w:val="1"/>
          <w:iCs w:val="1"/>
          <w:rtl w:val="0"/>
        </w:rPr>
        <w:t xml:space="preserve">) for Financial Services.”</w:t>
      </w:r>
      <w:r w:rsidDel="00000000" w:rsidR="00000000" w:rsidRPr="00000000">
        <w:rPr>
          <w:rtl w:val="0"/>
        </w:rPr>
        <w:t xml:space="preserve"> The competition held on 18 transformative AI solutions addressing pressing challenges in wealth management, SME financing, risk analytics, and regulatory compliance. Each finalist has been paired with industry mentors to refine their proposals ahead of the Demo Day on 12 November, where the top three teams will receive S$80,000 each and potential pilot opportunities with corporate champions such as BNP Paribas, Mastercard, and Prudential AI Lab.</w:t>
      </w:r>
    </w:p>
    <w:p w:rsidR="00000000" w:rsidDel="00000000" w:rsidP="00000000" w:rsidRDefault="00000000" w:rsidRPr="00000000" w14:paraId="00000041">
      <w:pPr>
        <w:jc w:val="both"/>
        <w:rPr/>
      </w:pPr>
      <w:r w:rsidDel="00000000" w:rsidR="00000000" w:rsidRPr="00000000">
        <w:rPr>
          <w:rtl w:val="0"/>
        </w:rPr>
        <w:t xml:space="preserve">The SFF FinTech Excellence Awards 2025, jointly organised by MAS, the Singapore FinTech Association (</w:t>
      </w:r>
      <w:r w:rsidDel="00000000" w:rsidR="00000000" w:rsidRPr="00000000">
        <w:rPr>
          <w:b w:val="1"/>
          <w:bCs w:val="1"/>
          <w:rtl w:val="0"/>
        </w:rPr>
        <w:t xml:space="preserve">SFA</w:t>
      </w:r>
      <w:r w:rsidDel="00000000" w:rsidR="00000000" w:rsidRPr="00000000">
        <w:rPr>
          <w:rtl w:val="0"/>
        </w:rPr>
        <w:t xml:space="preserve">) and PwC Singapore, continues its legacy of recognising excellence in FinTech innovation. This year’s awards feature five corporate categories i.e. Emerging FinTech, Financial Inclusivity, Regulatory Leader, Sustainable Innovator, and Thematic (</w:t>
      </w:r>
      <w:r w:rsidDel="00000000" w:rsidR="00000000" w:rsidRPr="00000000">
        <w:rPr>
          <w:b w:val="1"/>
          <w:bCs w:val="1"/>
          <w:rtl w:val="0"/>
        </w:rPr>
        <w:t xml:space="preserve">AI</w:t>
      </w:r>
      <w:r w:rsidDel="00000000" w:rsidR="00000000" w:rsidRPr="00000000">
        <w:rPr>
          <w:rtl w:val="0"/>
        </w:rPr>
        <w:t xml:space="preserve">)—and one individual award for the FinTech Mentor of the Year. Over 150 submissions were received, reflecting the ecosystem’s extraordinary creativity and commitment to responsible innovation.</w:t>
      </w:r>
    </w:p>
    <w:p w:rsidR="00000000" w:rsidDel="00000000" w:rsidP="00000000" w:rsidRDefault="00000000" w:rsidRPr="00000000" w14:paraId="00000042">
      <w:pPr>
        <w:jc w:val="both"/>
        <w:rPr/>
      </w:pPr>
      <w:r w:rsidDel="00000000" w:rsidR="00000000" w:rsidRPr="00000000">
        <w:rPr>
          <w:i w:val="1"/>
          <w:iCs w:val="1"/>
          <w:rtl w:val="0"/>
        </w:rPr>
        <w:t xml:space="preserve">“We are pleased to announce all the finalists selected today. Your groundbreaking AI solutions demonstrate the transformative potential of technology in financial services, and reinforce our commitment to building a more efficient and accessible financial ecosystem,”</w:t>
      </w:r>
      <w:r w:rsidDel="00000000" w:rsidR="00000000" w:rsidRPr="00000000">
        <w:rPr>
          <w:rtl w:val="0"/>
        </w:rPr>
        <w:t xml:space="preserve"> said Kenneth Gay, Chief FinTech Officer at MAS.</w:t>
      </w:r>
    </w:p>
    <w:p w:rsidR="00000000" w:rsidDel="00000000" w:rsidP="00000000" w:rsidRDefault="00000000" w:rsidRPr="00000000" w14:paraId="00000043">
      <w:pPr>
        <w:jc w:val="both"/>
        <w:rPr>
          <w:i w:val="1"/>
          <w:iCs w:val="1"/>
        </w:rPr>
      </w:pPr>
      <w:r w:rsidDel="00000000" w:rsidR="00000000" w:rsidRPr="00000000">
        <w:rPr>
          <w:rtl w:val="0"/>
        </w:rPr>
        <w:t xml:space="preserve">Holly Fang, President of SFA, added, </w:t>
      </w:r>
      <w:r w:rsidDel="00000000" w:rsidR="00000000" w:rsidRPr="00000000">
        <w:rPr>
          <w:i w:val="1"/>
          <w:iCs w:val="1"/>
          <w:rtl w:val="0"/>
        </w:rPr>
        <w:t xml:space="preserve">“These exceptional innovators reflect Singapore’s thriving FinTech talent pool and exemplify the forward-thinking spirit that drives our ecosystem. We are encouraged by the growing momentum behind the ‘FinTech Gives Back’ initiative, which highlights the community’s dedication to nurturing the next generation of FinTech talent.”</w:t>
      </w:r>
    </w:p>
    <w:p w:rsidR="00000000" w:rsidDel="00000000" w:rsidP="00000000" w:rsidRDefault="00000000" w:rsidRPr="00000000" w14:paraId="00000044">
      <w:pPr>
        <w:jc w:val="both"/>
        <w:rPr>
          <w:i w:val="1"/>
          <w:iCs w:val="1"/>
        </w:rPr>
      </w:pPr>
      <w:r w:rsidDel="00000000" w:rsidR="00000000" w:rsidRPr="00000000">
        <w:rPr>
          <w:rtl w:val="0"/>
        </w:rPr>
        <w:t xml:space="preserve">Wong Wanyi, FinTech Leader at PwC Singapore, remarked, </w:t>
      </w:r>
      <w:r w:rsidDel="00000000" w:rsidR="00000000" w:rsidRPr="00000000">
        <w:rPr>
          <w:i w:val="1"/>
          <w:iCs w:val="1"/>
          <w:rtl w:val="0"/>
        </w:rPr>
        <w:t xml:space="preserve">“Celebrating a decade of innovation and excellence, PwC Singapore is proud to honour the pioneers who are reshaping the financial landscape and transforming challenges into opportunities.”</w:t>
      </w:r>
    </w:p>
    <w:p w:rsidR="00000000" w:rsidDel="00000000" w:rsidP="00000000" w:rsidRDefault="00000000" w:rsidRPr="00000000" w14:paraId="00000045">
      <w:pPr>
        <w:jc w:val="both"/>
        <w:rPr/>
      </w:pPr>
      <w:r w:rsidDel="00000000" w:rsidR="00000000" w:rsidRPr="00000000">
        <w:rPr>
          <w:rtl w:val="0"/>
        </w:rPr>
        <w:t xml:space="preserve">At the heart of both the Hackcelerator and the experimentation and regulation move hand in hand. The AI focus embodies MAS’s strategy under initiatives like Veritas and Project Guardian, which are designed to operationalise principles of fairness, ethics, and accountability in AI-driven financial services.</w:t>
      </w:r>
    </w:p>
    <w:p w:rsidR="00000000" w:rsidDel="00000000" w:rsidP="00000000" w:rsidRDefault="00000000" w:rsidRPr="00000000" w14:paraId="00000046">
      <w:pPr>
        <w:jc w:val="both"/>
        <w:rPr/>
      </w:pPr>
      <w:r w:rsidDel="00000000" w:rsidR="00000000" w:rsidRPr="00000000">
        <w:rPr>
          <w:rtl w:val="0"/>
        </w:rPr>
        <w:t xml:space="preserve">ActuaViz from Taiwan converts complex regulatory data into structured, machine-readable formats for transparency. Akro, a Singapore-based firm, builds secure AI research platforms for financial institutions. India’s Boost.Money integrates AI into credit decisioning to streamline SME lending. U-Reg, another Singapore finalist, automates compliance workflows and accelerates Source of Wealth verification, reducing manual review time by up to 80 per cent. Each solution demonstrates how regulatory trust can coexist with rapid innovation.</w:t>
      </w:r>
    </w:p>
    <w:p w:rsidR="00000000" w:rsidDel="00000000" w:rsidP="00000000" w:rsidRDefault="00000000" w:rsidRPr="00000000" w14:paraId="00000047">
      <w:pPr>
        <w:jc w:val="both"/>
        <w:rPr/>
      </w:pPr>
      <w:r w:rsidDel="00000000" w:rsidR="00000000" w:rsidRPr="00000000">
        <w:rPr>
          <w:rtl w:val="0"/>
        </w:rPr>
        <w:t xml:space="preserve">In the Regulatory Leader and Thematic (</w:t>
      </w:r>
      <w:r w:rsidDel="00000000" w:rsidR="00000000" w:rsidRPr="00000000">
        <w:rPr>
          <w:b w:val="1"/>
          <w:bCs w:val="1"/>
          <w:rtl w:val="0"/>
        </w:rPr>
        <w:t xml:space="preserve">AI</w:t>
      </w:r>
      <w:r w:rsidDel="00000000" w:rsidR="00000000" w:rsidRPr="00000000">
        <w:rPr>
          <w:rtl w:val="0"/>
        </w:rPr>
        <w:t xml:space="preserve">) categories, solutions such as LexisNexis IDVerse’s AI-driven identity verification and Cynopsis Solutions’ global KYC platform underline the growing importance of digital governance. Meanwhile, platforms like WeavInsight’s climate-risk AI analytics show how technology can be used to meet environmental, social and governance (</w:t>
      </w:r>
      <w:r w:rsidDel="00000000" w:rsidR="00000000" w:rsidRPr="00000000">
        <w:rPr>
          <w:b w:val="1"/>
          <w:bCs w:val="1"/>
          <w:rtl w:val="0"/>
        </w:rPr>
        <w:t xml:space="preserve">ESG</w:t>
      </w:r>
      <w:r w:rsidDel="00000000" w:rsidR="00000000" w:rsidRPr="00000000">
        <w:rPr>
          <w:rtl w:val="0"/>
        </w:rPr>
        <w:t xml:space="preserve">) mandates with precision and accountability.</w:t>
      </w:r>
    </w:p>
    <w:p w:rsidR="00000000" w:rsidDel="00000000" w:rsidP="00000000" w:rsidRDefault="00000000" w:rsidRPr="00000000" w14:paraId="00000048">
      <w:pPr>
        <w:jc w:val="both"/>
        <w:rPr/>
      </w:pPr>
      <w:r w:rsidDel="00000000" w:rsidR="00000000" w:rsidRPr="00000000">
        <w:rPr>
          <w:rtl w:val="0"/>
        </w:rPr>
        <w:t xml:space="preserve">As the FinTech community looks ahead to the Singapore FinTech Festival in November, the finalists represent more than innovation; they embody a future in which technology serves regulation, and regulation empowers innovation.</w:t>
      </w:r>
    </w:p>
    <w:p w:rsidR="00000000" w:rsidDel="00000000" w:rsidP="00000000" w:rsidRDefault="00000000" w:rsidRPr="00000000" w14:paraId="00000049">
      <w:pPr>
        <w:jc w:val="both"/>
        <w:rPr/>
      </w:pPr>
      <w:r w:rsidDel="00000000" w:rsidR="00000000" w:rsidRPr="00000000">
        <w:rPr>
          <w:rtl w:val="0"/>
        </w:rPr>
        <w:t xml:space="preserve">(Source: </w:t>
      </w:r>
      <w:hyperlink r:id="rId24">
        <w:r w:rsidDel="00000000" w:rsidR="00000000" w:rsidRPr="00000000">
          <w:rPr>
            <w:color w:val="ff6e00"/>
            <w:u w:val="single"/>
            <w:rtl w:val="0"/>
          </w:rPr>
          <w:t xml:space="preserve">https://www.mas.gov.sg/news/media-releases/2025/mas-announces-finalists-for-the-2025-global-fintech-hackcelerator-and-fintech-excellence-awards</w:t>
        </w:r>
      </w:hyperlink>
      <w:r w:rsidDel="00000000" w:rsidR="00000000" w:rsidRPr="00000000">
        <w:rPr>
          <w:rtl w:val="0"/>
        </w:rPr>
        <w:t xml:space="preserve">)</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pStyle w:val="Title"/>
        <w:spacing w:after="200" w:lineRule="auto"/>
        <w:rPr/>
      </w:pPr>
      <w:bookmarkStart w:colFirst="0" w:colLast="0" w:name="_heading=h.tsfeszhop8m" w:id="21"/>
      <w:bookmarkEnd w:id="21"/>
      <w:r w:rsidDel="00000000" w:rsidR="00000000" w:rsidRPr="00000000">
        <w:rPr>
          <w:rtl w:val="0"/>
        </w:rPr>
        <w:t xml:space="preserve">Monetary Authority of Singapore Launches BLOOM Initiative to Extend Settlement Capabilities</w:t>
      </w:r>
    </w:p>
    <w:p w:rsidR="00000000" w:rsidDel="00000000" w:rsidP="00000000" w:rsidRDefault="00000000" w:rsidRPr="00000000" w14:paraId="0000004C">
      <w:pPr>
        <w:jc w:val="both"/>
        <w:rPr/>
      </w:pPr>
      <w:r w:rsidDel="00000000" w:rsidR="00000000" w:rsidRPr="00000000">
        <w:rPr>
          <w:rtl w:val="0"/>
        </w:rPr>
        <w:t xml:space="preserve">On 16 October 2025, the Monetary Authority of Singapore (</w:t>
      </w:r>
      <w:r w:rsidDel="00000000" w:rsidR="00000000" w:rsidRPr="00000000">
        <w:rPr>
          <w:b w:val="1"/>
          <w:bCs w:val="1"/>
          <w:rtl w:val="0"/>
        </w:rPr>
        <w:t xml:space="preserve">MAS</w:t>
      </w:r>
      <w:r w:rsidDel="00000000" w:rsidR="00000000" w:rsidRPr="00000000">
        <w:rPr>
          <w:rtl w:val="0"/>
        </w:rPr>
        <w:t xml:space="preserve">) announced the launch of </w:t>
      </w:r>
      <w:hyperlink r:id="rId25">
        <w:r w:rsidDel="00000000" w:rsidR="00000000" w:rsidRPr="00000000">
          <w:rPr>
            <w:color w:val="ff6e00"/>
            <w:rtl w:val="0"/>
          </w:rPr>
          <w:t xml:space="preserve">BLOOM an initiative designed to enhance digital settlement capabilities across the financial industry</w:t>
        </w:r>
      </w:hyperlink>
      <w:r w:rsidDel="00000000" w:rsidR="00000000" w:rsidRPr="00000000">
        <w:rPr>
          <w:rtl w:val="0"/>
        </w:rPr>
        <w:t xml:space="preserve">. BLOOM, an acronym for Borderless, Liquid, Open, Online, Multi-currency, aims to enable settlement in tokenised bank liabilities and well-regulated stablecoins through standardised frameworks that manage risks and promote interoperability. Its MAS’s strategy to integrate innovation with regulatory discipline. BLOOM builds upon the foundation laid by Project Orchid, launched in 2021 to explore a digital Singapore dollar and test the supporting infrastructure. Over ten trials were conducted under Project Orchid, leading to detailed industry reports and market-ready solutions such as programmable rewards, conditional payments, and cross-border collaborations. BLOOM extends this groundwork by focusing on multi-currency settlement, cross-border applications, and wholesale financial use cases, including corporate treasury management, trade finance, and agentic payments.</w:t>
      </w:r>
    </w:p>
    <w:p w:rsidR="00000000" w:rsidDel="00000000" w:rsidP="00000000" w:rsidRDefault="00000000" w:rsidRPr="00000000" w14:paraId="0000004D">
      <w:pPr>
        <w:pStyle w:val="Heading2"/>
        <w:jc w:val="both"/>
        <w:rPr/>
      </w:pPr>
      <w:bookmarkStart w:colFirst="0" w:colLast="0" w:name="_heading=h.malt4xdl37a8" w:id="22"/>
      <w:bookmarkEnd w:id="22"/>
      <w:r w:rsidDel="00000000" w:rsidR="00000000" w:rsidRPr="00000000">
        <w:rPr>
          <w:rtl w:val="0"/>
        </w:rPr>
        <w:t xml:space="preserve">Compliance and Regulatory Requirements</w:t>
      </w:r>
    </w:p>
    <w:p w:rsidR="00000000" w:rsidDel="00000000" w:rsidP="00000000" w:rsidRDefault="00000000" w:rsidRPr="00000000" w14:paraId="0000004E">
      <w:pPr>
        <w:jc w:val="both"/>
        <w:rPr/>
      </w:pPr>
      <w:r w:rsidDel="00000000" w:rsidR="00000000" w:rsidRPr="00000000">
        <w:rPr>
          <w:rtl w:val="0"/>
        </w:rPr>
        <w:t xml:space="preserve">The BLOOM creates a regulated interoperability framework for digital settlements. Its focus on tokenised bank liabilities and well-regulated stablecoins clarify authority’s intention to allow innovation without compromising prudential safeguards. MAS has explicitly tied BLOOM to Singapore’s regulatory architecture by integrating compliance automation via programmable controls and jurisdictional context through the Programmable Compliance Toolkit developed under the Global Layer One (</w:t>
      </w:r>
      <w:r w:rsidDel="00000000" w:rsidR="00000000" w:rsidRPr="00000000">
        <w:rPr>
          <w:b w:val="1"/>
          <w:bCs w:val="1"/>
          <w:rtl w:val="0"/>
        </w:rPr>
        <w:t xml:space="preserve">GL1</w:t>
      </w:r>
      <w:r w:rsidDel="00000000" w:rsidR="00000000" w:rsidRPr="00000000">
        <w:rPr>
          <w:rtl w:val="0"/>
        </w:rPr>
        <w:t xml:space="preserve">) initiative.</w:t>
      </w:r>
    </w:p>
    <w:p w:rsidR="00000000" w:rsidDel="00000000" w:rsidP="00000000" w:rsidRDefault="00000000" w:rsidRPr="00000000" w14:paraId="0000004F">
      <w:pPr>
        <w:jc w:val="both"/>
        <w:rPr/>
      </w:pPr>
      <w:r w:rsidDel="00000000" w:rsidR="00000000" w:rsidRPr="00000000">
        <w:rPr>
          <w:rtl w:val="0"/>
        </w:rPr>
        <w:t xml:space="preserve">For compliance, BLOOM introduces a standardised approach to settlement asset oversight, integrating governance, risk management, and regulatory reporting directly into transaction protocols. The use of </w:t>
      </w:r>
      <w:r w:rsidDel="00000000" w:rsidR="00000000" w:rsidRPr="00000000">
        <w:rPr>
          <w:i w:val="1"/>
          <w:iCs w:val="1"/>
          <w:rtl w:val="0"/>
        </w:rPr>
        <w:t xml:space="preserve">“programmable compliance” </w:t>
      </w:r>
      <w:r w:rsidDel="00000000" w:rsidR="00000000" w:rsidRPr="00000000">
        <w:rPr>
          <w:rtl w:val="0"/>
        </w:rPr>
        <w:t xml:space="preserve">establishes a model where AML/CFT and cross-border regulatory checks are embedded at the technical level, ensuring compliance continuity even as financial instruments evolve.</w:t>
      </w:r>
    </w:p>
    <w:p w:rsidR="00000000" w:rsidDel="00000000" w:rsidP="00000000" w:rsidRDefault="00000000" w:rsidRPr="00000000" w14:paraId="00000050">
      <w:pPr>
        <w:pStyle w:val="Heading2"/>
        <w:jc w:val="both"/>
        <w:rPr/>
      </w:pPr>
      <w:bookmarkStart w:colFirst="0" w:colLast="0" w:name="_heading=h.l27h6det9h4s" w:id="23"/>
      <w:bookmarkEnd w:id="23"/>
      <w:r w:rsidDel="00000000" w:rsidR="00000000" w:rsidRPr="00000000">
        <w:rPr>
          <w:rtl w:val="0"/>
        </w:rPr>
        <w:t xml:space="preserve">Industry Collaboration and Participation</w:t>
      </w:r>
    </w:p>
    <w:p w:rsidR="00000000" w:rsidDel="00000000" w:rsidP="00000000" w:rsidRDefault="00000000" w:rsidRPr="00000000" w14:paraId="00000051">
      <w:pPr>
        <w:jc w:val="both"/>
        <w:rPr/>
      </w:pPr>
      <w:r w:rsidDel="00000000" w:rsidR="00000000" w:rsidRPr="00000000">
        <w:rPr>
          <w:rtl w:val="0"/>
        </w:rPr>
        <w:t xml:space="preserve">BLOOM unites a consortium of leading global and domestic institutions, including Circle, DBS, OCBC, UOB, Partior, Stripe, Coinbase, Ant International, and StraitsX. These entities will work together on interoperability, compliance automation, and AI-enabled agentic payments. MAS invites additional financial institutions and clearing networks to conduct trials under BLOOM, marking a shift from regulatory observation to regulatory co-creation — a defining feature of Singapore’s fintech policy model.</w:t>
      </w:r>
    </w:p>
    <w:p w:rsidR="00000000" w:rsidDel="00000000" w:rsidP="00000000" w:rsidRDefault="00000000" w:rsidRPr="00000000" w14:paraId="00000052">
      <w:pPr>
        <w:jc w:val="both"/>
        <w:rPr/>
      </w:pPr>
      <w:r w:rsidDel="00000000" w:rsidR="00000000" w:rsidRPr="00000000">
        <w:rPr>
          <w:rtl w:val="0"/>
        </w:rPr>
        <w:t xml:space="preserve">The initiative expands settlement functionality to multi-currency environments, covering both G10 and Asian currencies. It supports domestic and cross-border payments, embedding digital settlement mechanisms within existing payment infrastructures. A central focus on </w:t>
      </w:r>
      <w:r w:rsidDel="00000000" w:rsidR="00000000" w:rsidRPr="00000000">
        <w:rPr>
          <w:i w:val="1"/>
          <w:iCs w:val="1"/>
          <w:rtl w:val="0"/>
        </w:rPr>
        <w:t xml:space="preserve">“agentic payments”</w:t>
      </w:r>
      <w:r w:rsidDel="00000000" w:rsidR="00000000" w:rsidRPr="00000000">
        <w:rPr>
          <w:rtl w:val="0"/>
        </w:rPr>
        <w:t xml:space="preserve"> i.e. transactions initiated and executed by AI agents under pre-set rules is MAS’s forward-looking approach to machine-driven financial operations, linking fintech innovation with oversight and regulation.</w:t>
      </w:r>
    </w:p>
    <w:p w:rsidR="00000000" w:rsidDel="00000000" w:rsidP="00000000" w:rsidRDefault="00000000" w:rsidRPr="00000000" w14:paraId="00000053">
      <w:pPr>
        <w:jc w:val="both"/>
        <w:rPr/>
      </w:pPr>
      <w:r w:rsidDel="00000000" w:rsidR="00000000" w:rsidRPr="00000000">
        <w:rPr>
          <w:rtl w:val="0"/>
        </w:rPr>
        <w:t xml:space="preserve">BLOOM complements Singapore’s broader digital finance strategy anchored by:</w:t>
      </w:r>
    </w:p>
    <w:p w:rsidR="00000000" w:rsidDel="00000000" w:rsidP="00000000" w:rsidRDefault="00000000" w:rsidRPr="00000000" w14:paraId="00000054">
      <w:pPr>
        <w:numPr>
          <w:ilvl w:val="0"/>
          <w:numId w:val="3"/>
        </w:numPr>
        <w:ind w:left="720" w:hanging="360"/>
        <w:jc w:val="both"/>
      </w:pPr>
      <w:r w:rsidDel="00000000" w:rsidR="00000000" w:rsidRPr="00000000">
        <w:rPr>
          <w:b w:val="1"/>
          <w:bCs w:val="1"/>
          <w:rtl w:val="0"/>
        </w:rPr>
        <w:t xml:space="preserve">Project Orchid </w:t>
      </w:r>
      <w:r w:rsidDel="00000000" w:rsidR="00000000" w:rsidRPr="00000000">
        <w:rPr>
          <w:rtl w:val="0"/>
        </w:rPr>
        <w:t xml:space="preserve">– development of digital Singapore dollar infrastructure.</w:t>
      </w:r>
    </w:p>
    <w:p w:rsidR="00000000" w:rsidDel="00000000" w:rsidP="00000000" w:rsidRDefault="00000000" w:rsidRPr="00000000" w14:paraId="00000055">
      <w:pPr>
        <w:numPr>
          <w:ilvl w:val="0"/>
          <w:numId w:val="3"/>
        </w:numPr>
        <w:ind w:left="720" w:hanging="360"/>
        <w:jc w:val="both"/>
      </w:pPr>
      <w:r w:rsidDel="00000000" w:rsidR="00000000" w:rsidRPr="00000000">
        <w:rPr>
          <w:b w:val="1"/>
          <w:bCs w:val="1"/>
          <w:rtl w:val="0"/>
        </w:rPr>
        <w:t xml:space="preserve">Project Guardian</w:t>
      </w:r>
      <w:r w:rsidDel="00000000" w:rsidR="00000000" w:rsidRPr="00000000">
        <w:rPr>
          <w:rtl w:val="0"/>
        </w:rPr>
        <w:t xml:space="preserve"> – tokenisation of financial and real-world assets.</w:t>
      </w:r>
    </w:p>
    <w:p w:rsidR="00000000" w:rsidDel="00000000" w:rsidP="00000000" w:rsidRDefault="00000000" w:rsidRPr="00000000" w14:paraId="00000056">
      <w:pPr>
        <w:numPr>
          <w:ilvl w:val="0"/>
          <w:numId w:val="3"/>
        </w:numPr>
        <w:ind w:left="720" w:hanging="360"/>
        <w:jc w:val="both"/>
      </w:pPr>
      <w:r w:rsidDel="00000000" w:rsidR="00000000" w:rsidRPr="00000000">
        <w:rPr>
          <w:b w:val="1"/>
          <w:bCs w:val="1"/>
          <w:rtl w:val="0"/>
        </w:rPr>
        <w:t xml:space="preserve">Global Layer One (GL1) </w:t>
      </w:r>
      <w:r w:rsidDel="00000000" w:rsidR="00000000" w:rsidRPr="00000000">
        <w:rPr>
          <w:rtl w:val="0"/>
        </w:rPr>
        <w:t xml:space="preserve">– establishment of common digital infrastructure and programmable compliance standards.</w:t>
      </w:r>
    </w:p>
    <w:p w:rsidR="00000000" w:rsidDel="00000000" w:rsidP="00000000" w:rsidRDefault="00000000" w:rsidRPr="00000000" w14:paraId="00000057">
      <w:pPr>
        <w:jc w:val="both"/>
        <w:rPr/>
      </w:pPr>
      <w:r w:rsidDel="00000000" w:rsidR="00000000" w:rsidRPr="00000000">
        <w:rPr>
          <w:rtl w:val="0"/>
        </w:rPr>
        <w:t xml:space="preserve">By aligning BLOOM with these projects, MAS integrates currency innovation, asset tokenisation, and compliance automation into a cohesive financial ecosystem.</w:t>
      </w:r>
    </w:p>
    <w:p w:rsidR="00000000" w:rsidDel="00000000" w:rsidP="00000000" w:rsidRDefault="00000000" w:rsidRPr="00000000" w14:paraId="00000058">
      <w:pPr>
        <w:pStyle w:val="Heading2"/>
        <w:jc w:val="both"/>
        <w:rPr/>
      </w:pPr>
      <w:bookmarkStart w:colFirst="0" w:colLast="0" w:name="_heading=h.hhb77z2f0kqi" w:id="24"/>
      <w:bookmarkEnd w:id="24"/>
      <w:r w:rsidDel="00000000" w:rsidR="00000000" w:rsidRPr="00000000">
        <w:rPr>
          <w:rtl w:val="0"/>
        </w:rPr>
        <w:t xml:space="preserve">Background of BLOOM</w:t>
      </w:r>
    </w:p>
    <w:p w:rsidR="00000000" w:rsidDel="00000000" w:rsidP="00000000" w:rsidRDefault="00000000" w:rsidRPr="00000000" w14:paraId="00000059">
      <w:pPr>
        <w:jc w:val="both"/>
        <w:rPr/>
      </w:pPr>
      <w:r w:rsidDel="00000000" w:rsidR="00000000" w:rsidRPr="00000000">
        <w:rPr>
          <w:b w:val="1"/>
          <w:bCs w:val="1"/>
          <w:rtl w:val="0"/>
        </w:rPr>
        <w:t xml:space="preserve">2021</w:t>
      </w:r>
      <w:r w:rsidDel="00000000" w:rsidR="00000000" w:rsidRPr="00000000">
        <w:rPr>
          <w:rtl w:val="0"/>
        </w:rPr>
        <w:t xml:space="preserve">: Launch of Project Orchid to explore digital Singapore dollar prototypes.</w:t>
      </w:r>
    </w:p>
    <w:p w:rsidR="00000000" w:rsidDel="00000000" w:rsidP="00000000" w:rsidRDefault="00000000" w:rsidRPr="00000000" w14:paraId="0000005A">
      <w:pPr>
        <w:jc w:val="both"/>
        <w:rPr/>
      </w:pPr>
      <w:r w:rsidDel="00000000" w:rsidR="00000000" w:rsidRPr="00000000">
        <w:rPr>
          <w:b w:val="1"/>
          <w:bCs w:val="1"/>
          <w:rtl w:val="0"/>
        </w:rPr>
        <w:t xml:space="preserve">2022–2024</w:t>
      </w:r>
      <w:r w:rsidDel="00000000" w:rsidR="00000000" w:rsidRPr="00000000">
        <w:rPr>
          <w:rtl w:val="0"/>
        </w:rPr>
        <w:t xml:space="preserve">: Over ten trials conducted under Project Orchid; industry reports published.</w:t>
      </w:r>
    </w:p>
    <w:p w:rsidR="00000000" w:rsidDel="00000000" w:rsidP="00000000" w:rsidRDefault="00000000" w:rsidRPr="00000000" w14:paraId="0000005B">
      <w:pPr>
        <w:jc w:val="both"/>
        <w:rPr/>
      </w:pPr>
      <w:r w:rsidDel="00000000" w:rsidR="00000000" w:rsidRPr="00000000">
        <w:rPr>
          <w:b w:val="1"/>
          <w:bCs w:val="1"/>
          <w:rtl w:val="0"/>
        </w:rPr>
        <w:t xml:space="preserve">2025</w:t>
      </w:r>
      <w:r w:rsidDel="00000000" w:rsidR="00000000" w:rsidRPr="00000000">
        <w:rPr>
          <w:rtl w:val="0"/>
        </w:rPr>
        <w:t xml:space="preserve">: Launch of BLOOM to extend settlement across tokenised assets and stablecoins.</w:t>
      </w:r>
    </w:p>
    <w:p w:rsidR="00000000" w:rsidDel="00000000" w:rsidP="00000000" w:rsidRDefault="00000000" w:rsidRPr="00000000" w14:paraId="0000005C">
      <w:pPr>
        <w:pStyle w:val="Heading2"/>
        <w:jc w:val="both"/>
        <w:rPr/>
      </w:pPr>
      <w:bookmarkStart w:colFirst="0" w:colLast="0" w:name="_heading=h.dqh33jjm7xr0" w:id="25"/>
      <w:bookmarkEnd w:id="25"/>
      <w:r w:rsidDel="00000000" w:rsidR="00000000" w:rsidRPr="00000000">
        <w:rPr>
          <w:rtl w:val="0"/>
        </w:rPr>
        <w:t xml:space="preserve">Objectives</w:t>
      </w:r>
    </w:p>
    <w:p w:rsidR="00000000" w:rsidDel="00000000" w:rsidP="00000000" w:rsidRDefault="00000000" w:rsidRPr="00000000" w14:paraId="0000005D">
      <w:pPr>
        <w:numPr>
          <w:ilvl w:val="0"/>
          <w:numId w:val="2"/>
        </w:numPr>
        <w:ind w:left="720" w:hanging="360"/>
        <w:jc w:val="both"/>
      </w:pPr>
      <w:r w:rsidDel="00000000" w:rsidR="00000000" w:rsidRPr="00000000">
        <w:rPr>
          <w:rtl w:val="0"/>
        </w:rPr>
        <w:t xml:space="preserve">Enable secure settlement in tokenised bank liabilities and regulated stablecoins.</w:t>
      </w:r>
    </w:p>
    <w:p w:rsidR="00000000" w:rsidDel="00000000" w:rsidP="00000000" w:rsidRDefault="00000000" w:rsidRPr="00000000" w14:paraId="0000005E">
      <w:pPr>
        <w:numPr>
          <w:ilvl w:val="0"/>
          <w:numId w:val="2"/>
        </w:numPr>
        <w:ind w:left="720" w:hanging="360"/>
        <w:jc w:val="both"/>
      </w:pPr>
      <w:r w:rsidDel="00000000" w:rsidR="00000000" w:rsidRPr="00000000">
        <w:rPr>
          <w:rtl w:val="0"/>
        </w:rPr>
        <w:t xml:space="preserve">Develop standardised compliance frameworks through programmable controls.</w:t>
      </w:r>
    </w:p>
    <w:p w:rsidR="00000000" w:rsidDel="00000000" w:rsidP="00000000" w:rsidRDefault="00000000" w:rsidRPr="00000000" w14:paraId="0000005F">
      <w:pPr>
        <w:numPr>
          <w:ilvl w:val="0"/>
          <w:numId w:val="2"/>
        </w:numPr>
        <w:ind w:left="720" w:hanging="360"/>
        <w:jc w:val="both"/>
      </w:pPr>
      <w:r w:rsidDel="00000000" w:rsidR="00000000" w:rsidRPr="00000000">
        <w:rPr>
          <w:rtl w:val="0"/>
        </w:rPr>
        <w:t xml:space="preserve">Integrate AI-driven agentic payment capabilities.</w:t>
      </w:r>
    </w:p>
    <w:p w:rsidR="00000000" w:rsidDel="00000000" w:rsidP="00000000" w:rsidRDefault="00000000" w:rsidRPr="00000000" w14:paraId="00000060">
      <w:pPr>
        <w:numPr>
          <w:ilvl w:val="0"/>
          <w:numId w:val="2"/>
        </w:numPr>
        <w:ind w:left="720" w:hanging="360"/>
        <w:jc w:val="both"/>
      </w:pPr>
      <w:r w:rsidDel="00000000" w:rsidR="00000000" w:rsidRPr="00000000">
        <w:rPr>
          <w:rtl w:val="0"/>
        </w:rPr>
        <w:t xml:space="preserve">Enhance cross-border and multi-currency settlement efficiency.</w:t>
      </w:r>
    </w:p>
    <w:p w:rsidR="00000000" w:rsidDel="00000000" w:rsidP="00000000" w:rsidRDefault="00000000" w:rsidRPr="00000000" w14:paraId="00000061">
      <w:pPr>
        <w:jc w:val="both"/>
        <w:rPr/>
      </w:pPr>
      <w:r w:rsidDel="00000000" w:rsidR="00000000" w:rsidRPr="00000000">
        <w:rPr>
          <w:rtl w:val="0"/>
        </w:rPr>
        <w:t xml:space="preserve">BLOOM is a model of principles-based regulatory innovation. MAS maintains prudential boundaries while allowing experimentation with emerging asset classes. Its use of tokenised bank liabilities and stablecoins under defined compliance structures treats technological evolution as a tool for strengthening systemic trust, not eroding it. BLOOM is not merely a pilot but an architectural intersection of regulated decentralisation and programmable compliance.</w:t>
      </w:r>
    </w:p>
    <w:p w:rsidR="00000000" w:rsidDel="00000000" w:rsidP="00000000" w:rsidRDefault="00000000" w:rsidRPr="00000000" w14:paraId="00000062">
      <w:pPr>
        <w:jc w:val="both"/>
        <w:rPr>
          <w:rFonts w:ascii="Arial" w:cs="Arial" w:eastAsia="Arial" w:hAnsi="Arial"/>
          <w:i w:val="1"/>
          <w:iCs w:val="1"/>
          <w:sz w:val="21"/>
          <w:szCs w:val="21"/>
        </w:rPr>
      </w:pPr>
      <w:r w:rsidDel="00000000" w:rsidR="00000000" w:rsidRPr="00000000">
        <w:rPr>
          <w:rtl w:val="0"/>
        </w:rPr>
        <w:t xml:space="preserve">(Source: </w:t>
      </w:r>
      <w:hyperlink r:id="rId26">
        <w:r w:rsidDel="00000000" w:rsidR="00000000" w:rsidRPr="00000000">
          <w:rPr>
            <w:color w:val="ff6e00"/>
            <w:u w:val="single"/>
            <w:rtl w:val="0"/>
          </w:rPr>
          <w:t xml:space="preserve">https://www.mas.gov.sg/news/media-releases/2025/mas-launches-bloom-initiative-to-extend-settlement-capabilities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pStyle w:val="Title"/>
        <w:spacing w:after="200" w:lineRule="auto"/>
        <w:rPr/>
      </w:pPr>
      <w:bookmarkStart w:colFirst="0" w:colLast="0" w:name="_heading=h.xjumuwi0c04r" w:id="26"/>
      <w:bookmarkEnd w:id="26"/>
      <w:r w:rsidDel="00000000" w:rsidR="00000000" w:rsidRPr="00000000">
        <w:rPr>
          <w:rtl w:val="0"/>
        </w:rPr>
        <w:t xml:space="preserve">European System of Central Banks Renews Statements of Commitment to the FX Global Code – Compliance and Governance Overview</w:t>
      </w:r>
    </w:p>
    <w:p w:rsidR="00000000" w:rsidDel="00000000" w:rsidP="00000000" w:rsidRDefault="00000000" w:rsidRPr="00000000" w14:paraId="00000065">
      <w:pPr>
        <w:jc w:val="both"/>
        <w:rPr/>
      </w:pPr>
      <w:r w:rsidDel="00000000" w:rsidR="00000000" w:rsidRPr="00000000">
        <w:rPr>
          <w:rtl w:val="0"/>
        </w:rPr>
        <w:t xml:space="preserve">On 9 October 2025, the European System of Central Banks reaffirmed </w:t>
      </w:r>
      <w:hyperlink r:id="rId27">
        <w:r w:rsidDel="00000000" w:rsidR="00000000" w:rsidRPr="00000000">
          <w:rPr>
            <w:color w:val="ff6e00"/>
            <w:rtl w:val="0"/>
          </w:rPr>
          <w:t xml:space="preserve">its commitment to the FX Global Code, a global standard of conduct for the foreign exchange market</w:t>
        </w:r>
      </w:hyperlink>
      <w:r w:rsidDel="00000000" w:rsidR="00000000" w:rsidRPr="00000000">
        <w:rPr>
          <w:rtl w:val="0"/>
        </w:rPr>
        <w:t xml:space="preserve">. The Code, first introduced in 2017 and most recently updated in December 2024, defines the principles of fairness, transparency, and integrity that underpin ethical FX market behaviour. The European Central Bank and all national central banks within the ESCB have renewed their Statements of Commitment, confirming that their internal policies and market operations comply with the revised Code. This renewal not only strengthens the integrity of the FX ecosystem but also reinforces confidence in monetary policy transmission through well-functioning financial markets.</w:t>
      </w:r>
    </w:p>
    <w:p w:rsidR="00000000" w:rsidDel="00000000" w:rsidP="00000000" w:rsidRDefault="00000000" w:rsidRPr="00000000" w14:paraId="00000066">
      <w:pPr>
        <w:jc w:val="both"/>
        <w:rPr/>
      </w:pPr>
      <w:r w:rsidDel="00000000" w:rsidR="00000000" w:rsidRPr="00000000">
        <w:rPr>
          <w:rtl w:val="0"/>
        </w:rPr>
        <w:t xml:space="preserve">The FX Global Code is a set of voluntary principles that promote sound governance and best practices across the global FX market. It is maintained by the Global Foreign Exchange Committee (</w:t>
      </w:r>
      <w:r w:rsidDel="00000000" w:rsidR="00000000" w:rsidRPr="00000000">
        <w:rPr>
          <w:b w:val="1"/>
          <w:bCs w:val="1"/>
          <w:rtl w:val="0"/>
        </w:rPr>
        <w:t xml:space="preserve">GFXC</w:t>
      </w:r>
      <w:r w:rsidDel="00000000" w:rsidR="00000000" w:rsidRPr="00000000">
        <w:rPr>
          <w:rtl w:val="0"/>
        </w:rPr>
        <w:t xml:space="preserve">) and updated periodically to reflect changes in market structure and technology. The ESCB’s renewal signals to both public and private market participants that adherence to these principles is an ongoing responsibility. By aligning internal operations with the Code, the ESCB ensures consistency between ethical standards and practical implementation across EU central banks, enhancing transparency and reinforcing investor trust.</w:t>
      </w:r>
    </w:p>
    <w:p w:rsidR="00000000" w:rsidDel="00000000" w:rsidP="00000000" w:rsidRDefault="00000000" w:rsidRPr="00000000" w14:paraId="00000067">
      <w:pPr>
        <w:pStyle w:val="Heading2"/>
        <w:jc w:val="both"/>
        <w:rPr/>
      </w:pPr>
      <w:bookmarkStart w:colFirst="0" w:colLast="0" w:name="_heading=h.h4dkpuz71g5x" w:id="27"/>
      <w:bookmarkEnd w:id="27"/>
      <w:r w:rsidDel="00000000" w:rsidR="00000000" w:rsidRPr="00000000">
        <w:rPr>
          <w:rtl w:val="0"/>
        </w:rPr>
        <w:t xml:space="preserve">Regulatory and Compliance Requirements</w:t>
      </w:r>
    </w:p>
    <w:p w:rsidR="00000000" w:rsidDel="00000000" w:rsidP="00000000" w:rsidRDefault="00000000" w:rsidRPr="00000000" w14:paraId="00000068">
      <w:pPr>
        <w:jc w:val="both"/>
        <w:rPr/>
      </w:pPr>
      <w:r w:rsidDel="00000000" w:rsidR="00000000" w:rsidRPr="00000000">
        <w:rPr>
          <w:rtl w:val="0"/>
        </w:rPr>
        <w:t xml:space="preserve">The FX Global Code was developed as a self-regulatory framework that complements existing laws and supervisory requirements. Its scope spans six dimensions: ethics, governance, execution, information sharing, risk management, and confirmation and settlement. Unlike a binding rulebook, it establishes global behavioural standards that national authorities and financial institutions adopt voluntarily. Through this renewal, the ESCB reinforces that compliance with the Code is a marker of institutional discipline and sound risk governance within FX operations.</w:t>
      </w:r>
    </w:p>
    <w:p w:rsidR="00000000" w:rsidDel="00000000" w:rsidP="00000000" w:rsidRDefault="00000000" w:rsidRPr="00000000" w14:paraId="00000069">
      <w:pPr>
        <w:jc w:val="both"/>
        <w:rPr/>
      </w:pPr>
      <w:r w:rsidDel="00000000" w:rsidR="00000000" w:rsidRPr="00000000">
        <w:rPr>
          <w:rtl w:val="0"/>
        </w:rPr>
        <w:t xml:space="preserve">Institutions active in FX markets such as banks, dealers, fund managers, and corporates—are expected to ensure that their conduct frameworks mirror the Code’s principles. While non-binding, the ESCB’s leadership effectively transforms adherence into a standard of responsible market participation.</w:t>
      </w:r>
    </w:p>
    <w:p w:rsidR="00000000" w:rsidDel="00000000" w:rsidP="00000000" w:rsidRDefault="00000000" w:rsidRPr="00000000" w14:paraId="0000006A">
      <w:pPr>
        <w:jc w:val="both"/>
        <w:rPr/>
      </w:pPr>
      <w:r w:rsidDel="00000000" w:rsidR="00000000" w:rsidRPr="00000000">
        <w:rPr>
          <w:rtl w:val="0"/>
        </w:rPr>
        <w:t xml:space="preserve">Compliance officers should review the December 2024 revision of the Code, particularly the enhancements related to governance and transparency. Firms should update internal policies, execution protocols, and training to ensure operational consistency with these principles. Renewing and publicly disclosing a Statement of Commitment acts as evidence of ethical alignment and can strengthen regulatory confidence. The ESCB’s example provides momentum for private institutions to follow suit, ensuring market-wide consistency.</w:t>
      </w:r>
    </w:p>
    <w:p w:rsidR="00000000" w:rsidDel="00000000" w:rsidP="00000000" w:rsidRDefault="00000000" w:rsidRPr="00000000" w14:paraId="0000006B">
      <w:pPr>
        <w:pStyle w:val="Heading2"/>
        <w:jc w:val="both"/>
        <w:rPr/>
      </w:pPr>
      <w:bookmarkStart w:colFirst="0" w:colLast="0" w:name="_heading=h.cepgzgma3n2b" w:id="28"/>
      <w:bookmarkEnd w:id="28"/>
      <w:r w:rsidDel="00000000" w:rsidR="00000000" w:rsidRPr="00000000">
        <w:rPr>
          <w:rtl w:val="0"/>
        </w:rPr>
        <w:t xml:space="preserve">Operational Guidance</w:t>
      </w:r>
    </w:p>
    <w:p w:rsidR="00000000" w:rsidDel="00000000" w:rsidP="00000000" w:rsidRDefault="00000000" w:rsidRPr="00000000" w14:paraId="0000006C">
      <w:pPr>
        <w:jc w:val="both"/>
        <w:rPr/>
      </w:pPr>
      <w:r w:rsidDel="00000000" w:rsidR="00000000" w:rsidRPr="00000000">
        <w:rPr>
          <w:rtl w:val="0"/>
        </w:rPr>
        <w:t xml:space="preserve">Conduct a compliance gap analysis comparing existing FX procedures with the Code’s latest provisions.Update internal manuals, trader conduct charters, and risk management policies to align with the revised standards. Issue or renew a public Statement of Commitment accessible on the institution’s website. Integrate adherence monitoring into internal audit and compliance testing cycles. Document counterparties’ commitment to the Code as part of relationship and due-diligence reviews.</w:t>
      </w:r>
    </w:p>
    <w:p w:rsidR="00000000" w:rsidDel="00000000" w:rsidP="00000000" w:rsidRDefault="00000000" w:rsidRPr="00000000" w14:paraId="0000006D">
      <w:pPr>
        <w:pStyle w:val="Heading2"/>
        <w:jc w:val="both"/>
        <w:rPr/>
      </w:pPr>
      <w:bookmarkStart w:colFirst="0" w:colLast="0" w:name="_heading=h.71xmawwm6bk0" w:id="29"/>
      <w:bookmarkEnd w:id="29"/>
      <w:r w:rsidDel="00000000" w:rsidR="00000000" w:rsidRPr="00000000">
        <w:rPr>
          <w:rtl w:val="0"/>
        </w:rPr>
        <w:t xml:space="preserve">Background of Regulatory Developments</w:t>
      </w:r>
    </w:p>
    <w:p w:rsidR="00000000" w:rsidDel="00000000" w:rsidP="00000000" w:rsidRDefault="00000000" w:rsidRPr="00000000" w14:paraId="0000006E">
      <w:pPr>
        <w:numPr>
          <w:ilvl w:val="0"/>
          <w:numId w:val="4"/>
        </w:numPr>
        <w:ind w:left="720" w:hanging="360"/>
        <w:jc w:val="both"/>
      </w:pPr>
      <w:r w:rsidDel="00000000" w:rsidR="00000000" w:rsidRPr="00000000">
        <w:rPr>
          <w:b w:val="1"/>
          <w:bCs w:val="1"/>
          <w:rtl w:val="0"/>
        </w:rPr>
        <w:t xml:space="preserve">2017</w:t>
      </w:r>
      <w:r w:rsidDel="00000000" w:rsidR="00000000" w:rsidRPr="00000000">
        <w:rPr>
          <w:rtl w:val="0"/>
        </w:rPr>
        <w:t xml:space="preserve">: FX Global Code first published, setting universal standards for market conduct.</w:t>
      </w:r>
    </w:p>
    <w:p w:rsidR="00000000" w:rsidDel="00000000" w:rsidP="00000000" w:rsidRDefault="00000000" w:rsidRPr="00000000" w14:paraId="0000006F">
      <w:pPr>
        <w:numPr>
          <w:ilvl w:val="0"/>
          <w:numId w:val="4"/>
        </w:numPr>
        <w:ind w:left="720" w:hanging="360"/>
        <w:jc w:val="both"/>
      </w:pPr>
      <w:r w:rsidDel="00000000" w:rsidR="00000000" w:rsidRPr="00000000">
        <w:rPr>
          <w:b w:val="1"/>
          <w:bCs w:val="1"/>
          <w:rtl w:val="0"/>
        </w:rPr>
        <w:t xml:space="preserve">July 2021</w:t>
      </w:r>
      <w:r w:rsidDel="00000000" w:rsidR="00000000" w:rsidRPr="00000000">
        <w:rPr>
          <w:rtl w:val="0"/>
        </w:rPr>
        <w:t xml:space="preserve">: First update issued to reflect advances in execution and data usage.</w:t>
      </w:r>
    </w:p>
    <w:p w:rsidR="00000000" w:rsidDel="00000000" w:rsidP="00000000" w:rsidRDefault="00000000" w:rsidRPr="00000000" w14:paraId="00000070">
      <w:pPr>
        <w:numPr>
          <w:ilvl w:val="0"/>
          <w:numId w:val="4"/>
        </w:numPr>
        <w:ind w:left="720" w:hanging="360"/>
        <w:jc w:val="both"/>
      </w:pPr>
      <w:r w:rsidDel="00000000" w:rsidR="00000000" w:rsidRPr="00000000">
        <w:rPr>
          <w:b w:val="1"/>
          <w:bCs w:val="1"/>
          <w:rtl w:val="0"/>
        </w:rPr>
        <w:t xml:space="preserve">December 2024</w:t>
      </w:r>
      <w:r w:rsidDel="00000000" w:rsidR="00000000" w:rsidRPr="00000000">
        <w:rPr>
          <w:rtl w:val="0"/>
        </w:rPr>
        <w:t xml:space="preserve">: Second update released, refining governance and transparency principles.</w:t>
      </w:r>
    </w:p>
    <w:p w:rsidR="00000000" w:rsidDel="00000000" w:rsidP="00000000" w:rsidRDefault="00000000" w:rsidRPr="00000000" w14:paraId="00000071">
      <w:pPr>
        <w:numPr>
          <w:ilvl w:val="0"/>
          <w:numId w:val="4"/>
        </w:numPr>
        <w:ind w:left="720" w:hanging="360"/>
        <w:jc w:val="both"/>
      </w:pPr>
      <w:r w:rsidDel="00000000" w:rsidR="00000000" w:rsidRPr="00000000">
        <w:rPr>
          <w:b w:val="1"/>
          <w:bCs w:val="1"/>
          <w:rtl w:val="0"/>
        </w:rPr>
        <w:t xml:space="preserve">9 October 2025</w:t>
      </w:r>
      <w:r w:rsidDel="00000000" w:rsidR="00000000" w:rsidRPr="00000000">
        <w:rPr>
          <w:rtl w:val="0"/>
        </w:rPr>
        <w:t xml:space="preserve">: ESCB renews Statements of Commitment, confirming compliance with the updated framework.</w:t>
      </w:r>
    </w:p>
    <w:p w:rsidR="00000000" w:rsidDel="00000000" w:rsidP="00000000" w:rsidRDefault="00000000" w:rsidRPr="00000000" w14:paraId="00000072">
      <w:pPr>
        <w:pStyle w:val="Heading2"/>
        <w:jc w:val="both"/>
        <w:rPr/>
      </w:pPr>
      <w:bookmarkStart w:colFirst="0" w:colLast="0" w:name="_heading=h.ccl360a183sj" w:id="30"/>
      <w:bookmarkEnd w:id="30"/>
      <w:r w:rsidDel="00000000" w:rsidR="00000000" w:rsidRPr="00000000">
        <w:rPr>
          <w:rtl w:val="0"/>
        </w:rPr>
        <w:t xml:space="preserve">Timeline of Compliance and Institutional Objectives</w:t>
      </w:r>
    </w:p>
    <w:tbl>
      <w:tblPr>
        <w:tblStyle w:val="Table1"/>
        <w:tblW w:w="9255.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980"/>
        <w:gridCol w:w="7275"/>
        <w:tblGridChange w:id="0">
          <w:tblGrid>
            <w:gridCol w:w="1980"/>
            <w:gridCol w:w="7275"/>
          </w:tblGrid>
        </w:tblGridChange>
      </w:tblGrid>
      <w:tr>
        <w:trPr>
          <w:cantSplit w:val="0"/>
          <w:trHeight w:val="8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360.0" w:type="dxa"/>
              <w:bottom w:w="100.0" w:type="dxa"/>
              <w:right w:w="360.0" w:type="dxa"/>
            </w:tcMar>
            <w:vAlign w:val="top"/>
          </w:tcPr>
          <w:p w:rsidR="00000000" w:rsidDel="00000000" w:rsidP="00000000" w:rsidRDefault="00000000" w:rsidRPr="00000000" w14:paraId="00000073">
            <w:pPr>
              <w:spacing w:after="0" w:line="240" w:lineRule="auto"/>
              <w:jc w:val="both"/>
              <w:rPr/>
            </w:pPr>
            <w:r w:rsidDel="00000000" w:rsidR="00000000" w:rsidRPr="00000000">
              <w:rPr>
                <w:rtl w:val="0"/>
              </w:rPr>
              <w:t xml:space="preserve">Short term:</w:t>
            </w:r>
          </w:p>
        </w:tc>
        <w:tc>
          <w:tcPr>
            <w:tcBorders>
              <w:top w:color="000000" w:space="0" w:sz="12" w:val="single"/>
              <w:left w:color="000000" w:space="0" w:sz="12" w:val="single"/>
              <w:bottom w:color="000000" w:space="0" w:sz="12" w:val="single"/>
              <w:right w:color="000000" w:space="0" w:sz="12" w:val="single"/>
            </w:tcBorders>
            <w:shd w:fill="ffffff" w:val="clear"/>
            <w:tcMar>
              <w:top w:w="100.0" w:type="dxa"/>
              <w:left w:w="360.0" w:type="dxa"/>
              <w:bottom w:w="100.0" w:type="dxa"/>
              <w:right w:w="360.0" w:type="dxa"/>
            </w:tcMar>
            <w:vAlign w:val="top"/>
          </w:tcPr>
          <w:p w:rsidR="00000000" w:rsidDel="00000000" w:rsidP="00000000" w:rsidRDefault="00000000" w:rsidRPr="00000000" w14:paraId="00000074">
            <w:pPr>
              <w:spacing w:after="0" w:line="240" w:lineRule="auto"/>
              <w:jc w:val="both"/>
              <w:rPr/>
            </w:pPr>
            <w:r w:rsidDel="00000000" w:rsidR="00000000" w:rsidRPr="00000000">
              <w:rPr>
                <w:rtl w:val="0"/>
              </w:rPr>
              <w:t xml:space="preserve">Review and integrate the December 2024 update into institutional FX governance frameworks.</w:t>
            </w:r>
          </w:p>
        </w:tc>
      </w:tr>
      <w:tr>
        <w:trPr>
          <w:cantSplit w:val="0"/>
          <w:trHeight w:val="51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360.0" w:type="dxa"/>
              <w:bottom w:w="100.0" w:type="dxa"/>
              <w:right w:w="360.0" w:type="dxa"/>
            </w:tcMar>
            <w:vAlign w:val="top"/>
          </w:tcPr>
          <w:p w:rsidR="00000000" w:rsidDel="00000000" w:rsidP="00000000" w:rsidRDefault="00000000" w:rsidRPr="00000000" w14:paraId="00000075">
            <w:pPr>
              <w:spacing w:after="0" w:line="240" w:lineRule="auto"/>
              <w:jc w:val="both"/>
              <w:rPr/>
            </w:pPr>
            <w:r w:rsidDel="00000000" w:rsidR="00000000" w:rsidRPr="00000000">
              <w:rPr>
                <w:rtl w:val="0"/>
              </w:rPr>
              <w:t xml:space="preserve">Medium term</w:t>
            </w:r>
          </w:p>
        </w:tc>
        <w:tc>
          <w:tcPr>
            <w:tcBorders>
              <w:top w:color="000000" w:space="0" w:sz="12" w:val="single"/>
              <w:left w:color="000000" w:space="0" w:sz="12" w:val="single"/>
              <w:bottom w:color="000000" w:space="0" w:sz="12" w:val="single"/>
              <w:right w:color="000000" w:space="0" w:sz="12" w:val="single"/>
            </w:tcBorders>
            <w:shd w:fill="ffffff" w:val="clear"/>
            <w:tcMar>
              <w:top w:w="100.0" w:type="dxa"/>
              <w:left w:w="360.0" w:type="dxa"/>
              <w:bottom w:w="100.0" w:type="dxa"/>
              <w:right w:w="360.0" w:type="dxa"/>
            </w:tcMar>
            <w:vAlign w:val="top"/>
          </w:tcPr>
          <w:p w:rsidR="00000000" w:rsidDel="00000000" w:rsidP="00000000" w:rsidRDefault="00000000" w:rsidRPr="00000000" w14:paraId="00000076">
            <w:pPr>
              <w:spacing w:after="0" w:line="240" w:lineRule="auto"/>
              <w:jc w:val="both"/>
              <w:rPr/>
            </w:pPr>
            <w:r w:rsidDel="00000000" w:rsidR="00000000" w:rsidRPr="00000000">
              <w:rPr>
                <w:rtl w:val="0"/>
              </w:rPr>
              <w:t xml:space="preserve">Embed adherence monitoring into compliance oversight structures.</w:t>
            </w:r>
          </w:p>
        </w:tc>
      </w:tr>
      <w:tr>
        <w:trPr>
          <w:cantSplit w:val="0"/>
          <w:trHeight w:val="8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360.0" w:type="dxa"/>
              <w:bottom w:w="100.0" w:type="dxa"/>
              <w:right w:w="360.0" w:type="dxa"/>
            </w:tcMar>
            <w:vAlign w:val="top"/>
          </w:tcPr>
          <w:p w:rsidR="00000000" w:rsidDel="00000000" w:rsidP="00000000" w:rsidRDefault="00000000" w:rsidRPr="00000000" w14:paraId="00000077">
            <w:pPr>
              <w:spacing w:after="0" w:line="240" w:lineRule="auto"/>
              <w:jc w:val="both"/>
              <w:rPr/>
            </w:pPr>
            <w:r w:rsidDel="00000000" w:rsidR="00000000" w:rsidRPr="00000000">
              <w:rPr>
                <w:rtl w:val="0"/>
              </w:rPr>
              <w:t xml:space="preserve">Long term</w:t>
            </w:r>
          </w:p>
        </w:tc>
        <w:tc>
          <w:tcPr>
            <w:tcBorders>
              <w:top w:color="000000" w:space="0" w:sz="12" w:val="single"/>
              <w:left w:color="000000" w:space="0" w:sz="12" w:val="single"/>
              <w:bottom w:color="000000" w:space="0" w:sz="12" w:val="single"/>
              <w:right w:color="000000" w:space="0" w:sz="12" w:val="single"/>
            </w:tcBorders>
            <w:shd w:fill="ffffff" w:val="clear"/>
            <w:tcMar>
              <w:top w:w="100.0" w:type="dxa"/>
              <w:left w:w="360.0" w:type="dxa"/>
              <w:bottom w:w="100.0" w:type="dxa"/>
              <w:right w:w="360.0" w:type="dxa"/>
            </w:tcMar>
            <w:vAlign w:val="top"/>
          </w:tcPr>
          <w:p w:rsidR="00000000" w:rsidDel="00000000" w:rsidP="00000000" w:rsidRDefault="00000000" w:rsidRPr="00000000" w14:paraId="00000078">
            <w:pPr>
              <w:spacing w:after="0" w:line="240" w:lineRule="auto"/>
              <w:jc w:val="both"/>
              <w:rPr/>
            </w:pPr>
            <w:r w:rsidDel="00000000" w:rsidR="00000000" w:rsidRPr="00000000">
              <w:rPr>
                <w:rtl w:val="0"/>
              </w:rPr>
              <w:t xml:space="preserve">Sustain market-wide discipline, ensuring FX markets remain transparent, ethical, and conducive to effective monetary policy.</w:t>
            </w:r>
          </w:p>
        </w:tc>
      </w:tr>
    </w:tbl>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t xml:space="preserve">(Source: </w:t>
      </w:r>
      <w:hyperlink r:id="rId28">
        <w:r w:rsidDel="00000000" w:rsidR="00000000" w:rsidRPr="00000000">
          <w:rPr>
            <w:color w:val="ff6e00"/>
            <w:u w:val="single"/>
            <w:rtl w:val="0"/>
          </w:rPr>
          <w:t xml:space="preserve">https://www.bank.lv/en/news-and-events/news-and-articles/news/17360-european-system-of-central-banks-renews-statements-of-commitment-to-fx-global-code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rFonts w:ascii="Arial" w:cs="Arial" w:eastAsia="Arial" w:hAnsi="Arial"/>
          <w:b w:val="1"/>
          <w:bCs w:val="1"/>
          <w:i w:val="0"/>
          <w:iCs w:val="0"/>
          <w:smallCaps w:val="0"/>
          <w:strike w:val="0"/>
          <w:color w:val="00000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22"/>
          <w:szCs w:val="22"/>
          <w:u w:val="none"/>
          <w:shd w:fill="auto" w:val="clear"/>
          <w:vertAlign w:val="baseline"/>
          <w:rtl w:val="0"/>
        </w:rPr>
        <w:t xml:space="preserve">This newsletter is for information purposes only.</w:t>
      </w:r>
    </w:p>
    <w:p w:rsidR="00000000" w:rsidDel="00000000" w:rsidP="00000000" w:rsidRDefault="00000000" w:rsidRPr="00000000" w14:paraId="0000007D">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bCs w:val="0"/>
          <w:i w:val="0"/>
          <w:iCs w:val="0"/>
          <w:smallCaps w:val="0"/>
          <w:strike w:val="0"/>
          <w:color w:val="00000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2"/>
          <w:szCs w:val="22"/>
          <w:u w:val="none"/>
          <w:shd w:fill="auto" w:val="clear"/>
          <w:vertAlign w:val="baseline"/>
          <w:rtl w:val="0"/>
        </w:rPr>
        <w:t xml:space="preserve">This newsletter and the information contained herein is not intended to be a source of advice or credit analysis with respect to the material presented, and the information and/or documents contained in this newsletter do not constitute investment advice.</w:t>
      </w:r>
    </w:p>
    <w:p w:rsidR="00000000" w:rsidDel="00000000" w:rsidP="00000000" w:rsidRDefault="00000000" w:rsidRPr="00000000" w14:paraId="0000007E">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bCs w:val="0"/>
          <w:i w:val="0"/>
          <w:iCs w:val="0"/>
          <w:smallCaps w:val="0"/>
          <w:strike w:val="0"/>
          <w:color w:val="00000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2"/>
          <w:szCs w:val="22"/>
          <w:u w:val="none"/>
          <w:shd w:fill="auto" w:val="clear"/>
          <w:vertAlign w:val="baseline"/>
          <w:rtl w:val="0"/>
        </w:rPr>
        <w:t xml:space="preserve">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rsidR="00000000" w:rsidDel="00000000" w:rsidP="00000000" w:rsidRDefault="00000000" w:rsidRPr="00000000" w14:paraId="0000007F">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bCs w:val="0"/>
          <w:i w:val="0"/>
          <w:iCs w:val="0"/>
          <w:smallCaps w:val="0"/>
          <w:strike w:val="0"/>
          <w:color w:val="00000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2"/>
          <w:szCs w:val="22"/>
          <w:u w:val="none"/>
          <w:shd w:fill="auto" w:val="clear"/>
          <w:vertAlign w:val="baseline"/>
          <w:rtl w:val="0"/>
        </w:rPr>
        <w:t xml:space="preserve">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rsidR="00000000" w:rsidDel="00000000" w:rsidP="00000000" w:rsidRDefault="00000000" w:rsidRPr="00000000" w14:paraId="00000080">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bCs w:val="0"/>
          <w:i w:val="0"/>
          <w:iCs w:val="0"/>
          <w:smallCaps w:val="0"/>
          <w:strike w:val="0"/>
          <w:color w:val="00000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2"/>
          <w:szCs w:val="22"/>
          <w:u w:val="none"/>
          <w:shd w:fill="auto" w:val="clear"/>
          <w:vertAlign w:val="baseline"/>
          <w:rtl w:val="0"/>
        </w:rPr>
        <w:t xml:space="preserve">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rsidR="00000000" w:rsidDel="00000000" w:rsidP="00000000" w:rsidRDefault="00000000" w:rsidRPr="00000000" w14:paraId="00000081">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bCs w:val="0"/>
          <w:i w:val="0"/>
          <w:iCs w:val="0"/>
          <w:smallCaps w:val="0"/>
          <w:strike w:val="0"/>
          <w:color w:val="00000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2"/>
          <w:szCs w:val="22"/>
          <w:u w:val="none"/>
          <w:shd w:fill="auto" w:val="clear"/>
          <w:vertAlign w:val="baseline"/>
          <w:rtl w:val="0"/>
        </w:rPr>
        <w:t xml:space="preserve">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rsidR="00000000" w:rsidDel="00000000" w:rsidP="00000000" w:rsidRDefault="00000000" w:rsidRPr="00000000" w14:paraId="00000082">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bCs w:val="0"/>
          <w:i w:val="0"/>
          <w:iCs w:val="0"/>
          <w:smallCaps w:val="0"/>
          <w:strike w:val="0"/>
          <w:color w:val="00000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2"/>
          <w:szCs w:val="22"/>
          <w:u w:val="none"/>
          <w:shd w:fill="auto" w:val="clear"/>
          <w:vertAlign w:val="baseline"/>
          <w:rtl w:val="0"/>
        </w:rPr>
        <w:t xml:space="preserve">If you do not wish to receive this newsletter please let us know by emailing us at  </w:t>
      </w:r>
      <w:hyperlink r:id="rId29">
        <w:r w:rsidDel="00000000" w:rsidR="00000000" w:rsidRPr="00000000">
          <w:rPr>
            <w:rFonts w:ascii="Arial" w:cs="Arial" w:eastAsia="Arial" w:hAnsi="Arial"/>
            <w:b w:val="0"/>
            <w:bCs w:val="0"/>
            <w:i w:val="0"/>
            <w:iCs w:val="0"/>
            <w:smallCaps w:val="0"/>
            <w:strike w:val="0"/>
            <w:color w:val="00000a"/>
            <w:sz w:val="22"/>
            <w:szCs w:val="22"/>
            <w:u w:val="none"/>
            <w:shd w:fill="auto" w:val="clear"/>
            <w:vertAlign w:val="baseline"/>
            <w:rtl w:val="0"/>
          </w:rPr>
          <w:t xml:space="preserve">unsubscribe@charltonslaw.com</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000000" w:val="clear"/>
        <w:spacing w:after="200" w:before="0" w:line="240" w:lineRule="auto"/>
        <w:ind w:left="0" w:right="0" w:firstLine="0"/>
        <w:jc w:val="center"/>
        <w:rPr>
          <w:rFonts w:ascii="Arial" w:cs="Arial" w:eastAsia="Arial" w:hAnsi="Arial"/>
          <w:b w:val="0"/>
          <w:bCs w:val="0"/>
          <w:i w:val="0"/>
          <w:iCs w:val="0"/>
          <w:smallCaps w:val="0"/>
          <w:strike w:val="0"/>
          <w:color w:val="ffffff"/>
          <w:sz w:val="22"/>
          <w:szCs w:val="22"/>
          <w:u w:val="none"/>
          <w:shd w:fill="auto" w:val="clear"/>
          <w:vertAlign w:val="baseline"/>
        </w:rPr>
      </w:pPr>
      <w:bookmarkStart w:colFirst="0" w:colLast="0" w:name="_heading=h.mbil623dedjd" w:id="31"/>
      <w:bookmarkEnd w:id="31"/>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Charltons Quantum – Quantum Updates </w:t>
      </w:r>
      <w:r w:rsidDel="00000000" w:rsidR="00000000" w:rsidRPr="00000000">
        <w:rPr>
          <w:rFonts w:ascii="Arial" w:cs="Arial" w:eastAsia="Arial" w:hAnsi="Arial"/>
          <w:color w:val="ffffff"/>
          <w:rtl w:val="0"/>
        </w:rPr>
        <w:t xml:space="preserve">61</w:t>
      </w: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 – </w:t>
      </w:r>
      <w:r w:rsidDel="00000000" w:rsidR="00000000" w:rsidRPr="00000000">
        <w:rPr>
          <w:rFonts w:ascii="Arial" w:cs="Arial" w:eastAsia="Arial" w:hAnsi="Arial"/>
          <w:color w:val="ffffff"/>
          <w:rtl w:val="0"/>
        </w:rPr>
        <w:t xml:space="preserve">November</w:t>
      </w: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 2025</w:t>
      </w:r>
    </w:p>
    <w:sectPr>
      <w:headerReference r:id="rId30" w:type="default"/>
      <w:headerReference r:id="rId31" w:type="first"/>
      <w:headerReference r:id="rId32" w:type="even"/>
      <w:footerReference r:id="rId33" w:type="default"/>
      <w:footerReference r:id="rId34" w:type="first"/>
      <w:footerReference r:id="rId35"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PH"/>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200" w:before="40" w:line="240" w:lineRule="auto"/>
    </w:pPr>
    <w:rPr>
      <w:b w:val="1"/>
      <w:bCs w:val="1"/>
    </w:rPr>
  </w:style>
  <w:style w:type="paragraph" w:styleId="Heading3">
    <w:name w:val="heading 3"/>
    <w:basedOn w:val="Normal"/>
    <w:next w:val="Normal"/>
    <w:pPr>
      <w:keepNext w:val="1"/>
      <w:keepLines w:val="1"/>
      <w:jc w:val="both"/>
    </w:pPr>
    <w:rPr>
      <w:i w:val="1"/>
      <w:i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line="240" w:lineRule="auto"/>
      <w:jc w:val="both"/>
    </w:pPr>
    <w:rPr>
      <w:b w:val="1"/>
      <w:bCs w:val="1"/>
      <w:color w:val="ff6e0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ED6B42"/>
    <w:rPr>
      <w:color w:val="0563c1" w:themeColor="hyperlink"/>
      <w:u w:val="single"/>
    </w:rPr>
  </w:style>
  <w:style w:type="paragraph" w:styleId="NormalWeb">
    <w:name w:val="Normal (Web)"/>
    <w:basedOn w:val="Normal"/>
    <w:uiPriority w:val="99"/>
    <w:unhideWhenUsed w:val="1"/>
    <w:rsid w:val="00ED6B42"/>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ED6B42"/>
    <w:pPr>
      <w:ind w:left="720"/>
      <w:contextualSpacing w:val="1"/>
    </w:pPr>
  </w:style>
  <w:style w:type="paragraph" w:styleId="Disclaimer" w:customStyle="1">
    <w:name w:val="Disclaimer"/>
    <w:basedOn w:val="Normal"/>
    <w:qFormat w:val="1"/>
    <w:rsid w:val="00B4763A"/>
    <w:pPr>
      <w:pBdr>
        <w:top w:color="000001" w:space="1" w:sz="2" w:val="single"/>
        <w:left w:color="000001" w:space="1" w:sz="2" w:val="single"/>
        <w:bottom w:color="000001" w:space="1" w:sz="2" w:val="single"/>
        <w:right w:color="000001" w:space="1" w:sz="2" w:val="single"/>
      </w:pBdr>
      <w:shd w:color="auto" w:fill="dddddd" w:val="clear"/>
      <w:spacing w:after="101" w:before="101" w:line="240" w:lineRule="auto"/>
      <w:jc w:val="both"/>
    </w:pPr>
    <w:rPr>
      <w:rFonts w:eastAsiaTheme="minorHAnsi"/>
      <w:color w:val="00000a"/>
      <w:sz w:val="24"/>
      <w:szCs w:val="24"/>
      <w:lang w:eastAsia="en-US"/>
    </w:rPr>
  </w:style>
  <w:style w:type="paragraph" w:styleId="BlackStrips" w:customStyle="1">
    <w:name w:val="Black Strips"/>
    <w:basedOn w:val="Normal"/>
    <w:qFormat w:val="1"/>
    <w:rsid w:val="00B4763A"/>
    <w:pPr>
      <w:shd w:color="auto" w:fill="000000" w:val="clear"/>
      <w:spacing w:after="200" w:line="240" w:lineRule="auto"/>
      <w:jc w:val="center"/>
    </w:pPr>
    <w:rPr>
      <w:rFonts w:eastAsiaTheme="minorHAnsi"/>
      <w:color w:val="ffffff"/>
      <w:sz w:val="24"/>
      <w:szCs w:val="24"/>
      <w:lang w:eastAsia="en-US"/>
    </w:rPr>
  </w:style>
  <w:style w:type="character" w:styleId="UnresolvedMention1" w:customStyle="1">
    <w:name w:val="Unresolved Mention1"/>
    <w:basedOn w:val="DefaultParagraphFont"/>
    <w:uiPriority w:val="99"/>
    <w:semiHidden w:val="1"/>
    <w:unhideWhenUsed w:val="1"/>
    <w:rsid w:val="00BA37E1"/>
    <w:rPr>
      <w:color w:val="605e5c"/>
      <w:shd w:color="auto" w:fill="e1dfdd" w:val="clear"/>
    </w:rPr>
  </w:style>
  <w:style w:type="paragraph" w:styleId="Revision">
    <w:name w:val="Revision"/>
    <w:hidden w:val="1"/>
    <w:uiPriority w:val="99"/>
    <w:semiHidden w:val="1"/>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val="1"/>
    <w:unhideWhenUsed w:val="1"/>
    <w:rsid w:val="00011D2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11D2F"/>
    <w:rPr>
      <w:rFonts w:ascii="Tahoma" w:cs="Tahoma" w:hAnsi="Tahoma" w:eastAsiaTheme="minorEastAsia"/>
      <w:sz w:val="16"/>
      <w:szCs w:val="16"/>
      <w:lang w:eastAsia="zh-CN"/>
    </w:rPr>
  </w:style>
  <w:style w:type="character" w:styleId="UnresolvedMention2" w:customStyle="1">
    <w:name w:val="Unresolved Mention2"/>
    <w:basedOn w:val="DefaultParagraphFont"/>
    <w:uiPriority w:val="99"/>
    <w:semiHidden w:val="1"/>
    <w:unhideWhenUsed w:val="1"/>
    <w:rsid w:val="008577C6"/>
    <w:rPr>
      <w:color w:val="605e5c"/>
      <w:shd w:color="auto" w:fill="e1dfdd" w:val="clear"/>
    </w:rPr>
  </w:style>
  <w:style w:type="character" w:styleId="UnresolvedMention3" w:customStyle="1">
    <w:name w:val="Unresolved Mention3"/>
    <w:basedOn w:val="DefaultParagraphFont"/>
    <w:uiPriority w:val="99"/>
    <w:semiHidden w:val="1"/>
    <w:unhideWhenUsed w:val="1"/>
    <w:rsid w:val="00ED0822"/>
    <w:rPr>
      <w:color w:val="605e5c"/>
      <w:shd w:color="auto" w:fill="e1dfdd" w:val="clear"/>
    </w:rPr>
  </w:style>
  <w:style w:type="character" w:styleId="CommentReference">
    <w:name w:val="annotation reference"/>
    <w:basedOn w:val="DefaultParagraphFont"/>
    <w:uiPriority w:val="99"/>
    <w:semiHidden w:val="1"/>
    <w:unhideWhenUsed w:val="1"/>
    <w:rsid w:val="004B0F4E"/>
    <w:rPr>
      <w:sz w:val="16"/>
      <w:szCs w:val="16"/>
    </w:rPr>
  </w:style>
  <w:style w:type="paragraph" w:styleId="CommentText">
    <w:name w:val="annotation text"/>
    <w:basedOn w:val="Normal"/>
    <w:link w:val="CommentTextChar"/>
    <w:uiPriority w:val="99"/>
    <w:semiHidden w:val="1"/>
    <w:unhideWhenUsed w:val="1"/>
    <w:rsid w:val="004B0F4E"/>
    <w:pPr>
      <w:spacing w:line="240" w:lineRule="auto"/>
    </w:pPr>
    <w:rPr>
      <w:sz w:val="20"/>
      <w:szCs w:val="20"/>
    </w:rPr>
  </w:style>
  <w:style w:type="character" w:styleId="CommentTextChar" w:customStyle="1">
    <w:name w:val="Comment Text Char"/>
    <w:basedOn w:val="DefaultParagraphFont"/>
    <w:link w:val="CommentText"/>
    <w:uiPriority w:val="99"/>
    <w:semiHidden w:val="1"/>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val="1"/>
    <w:unhideWhenUsed w:val="1"/>
    <w:rsid w:val="004B0F4E"/>
    <w:rPr>
      <w:b w:val="1"/>
      <w:bCs w:val="1"/>
    </w:rPr>
  </w:style>
  <w:style w:type="character" w:styleId="CommentSubjectChar" w:customStyle="1">
    <w:name w:val="Comment Subject Char"/>
    <w:basedOn w:val="CommentTextChar"/>
    <w:link w:val="CommentSubject"/>
    <w:uiPriority w:val="99"/>
    <w:semiHidden w:val="1"/>
    <w:rsid w:val="004B0F4E"/>
    <w:rPr>
      <w:rFonts w:eastAsiaTheme="minorEastAsia"/>
      <w:b w:val="1"/>
      <w:bCs w:val="1"/>
      <w:sz w:val="20"/>
      <w:szCs w:val="20"/>
      <w:lang w:eastAsia="zh-CN"/>
    </w:rPr>
  </w:style>
  <w:style w:type="character" w:styleId="UnresolvedMention4" w:customStyle="1">
    <w:name w:val="Unresolved Mention4"/>
    <w:basedOn w:val="DefaultParagraphFont"/>
    <w:uiPriority w:val="99"/>
    <w:semiHidden w:val="1"/>
    <w:unhideWhenUsed w:val="1"/>
    <w:rsid w:val="00FB4B18"/>
    <w:rPr>
      <w:color w:val="605e5c"/>
      <w:shd w:color="auto" w:fill="e1dfdd" w:val="clear"/>
    </w:rPr>
  </w:style>
  <w:style w:type="character" w:styleId="FollowedHyperlink">
    <w:name w:val="FollowedHyperlink"/>
    <w:basedOn w:val="DefaultParagraphFont"/>
    <w:uiPriority w:val="99"/>
    <w:semiHidden w:val="1"/>
    <w:unhideWhenUsed w:val="1"/>
    <w:rsid w:val="00374E68"/>
    <w:rPr>
      <w:color w:val="954f72" w:themeColor="followedHyperlink"/>
      <w:u w:val="single"/>
    </w:rPr>
  </w:style>
  <w:style w:type="character" w:styleId="UnresolvedMention">
    <w:name w:val="Unresolved Mention"/>
    <w:basedOn w:val="DefaultParagraphFont"/>
    <w:uiPriority w:val="99"/>
    <w:semiHidden w:val="1"/>
    <w:unhideWhenUsed w:val="1"/>
    <w:rsid w:val="00372AF8"/>
    <w:rPr>
      <w:color w:val="605e5c"/>
      <w:shd w:color="auto" w:fill="e1dfdd" w:val="clear"/>
    </w:rPr>
  </w:style>
  <w:style w:type="character" w:styleId="Heading1Char" w:customStyle="1">
    <w:name w:val="Heading 1 Char"/>
    <w:basedOn w:val="DefaultParagraphFont"/>
    <w:link w:val="Heading1"/>
    <w:uiPriority w:val="9"/>
    <w:rsid w:val="00D77B26"/>
    <w:rPr>
      <w:rFonts w:asciiTheme="majorHAnsi" w:cstheme="majorBidi" w:eastAsiaTheme="majorEastAsia" w:hAnsiTheme="majorHAnsi"/>
      <w:color w:val="2e74b5" w:themeColor="accent1" w:themeShade="0000BF"/>
      <w:sz w:val="32"/>
      <w:szCs w:val="32"/>
      <w:lang w:eastAsia="zh-CN"/>
    </w:rPr>
  </w:style>
  <w:style w:type="character" w:styleId="Heading2Char" w:customStyle="1">
    <w:name w:val="Heading 2 Char"/>
    <w:basedOn w:val="DefaultParagraphFont"/>
    <w:link w:val="Heading2"/>
    <w:uiPriority w:val="9"/>
    <w:semiHidden w:val="1"/>
    <w:rsid w:val="00594FDB"/>
    <w:rPr>
      <w:rFonts w:asciiTheme="majorHAnsi" w:cstheme="majorBidi" w:eastAsiaTheme="majorEastAsia" w:hAnsiTheme="majorHAnsi"/>
      <w:color w:val="2e74b5" w:themeColor="accent1" w:themeShade="0000BF"/>
      <w:sz w:val="26"/>
      <w:szCs w:val="26"/>
      <w:lang w:eastAsia="zh-CN"/>
    </w:rPr>
  </w:style>
  <w:style w:type="paragraph" w:styleId="Header">
    <w:name w:val="header"/>
    <w:basedOn w:val="Normal"/>
    <w:link w:val="HeaderChar"/>
    <w:uiPriority w:val="99"/>
    <w:unhideWhenUsed w:val="1"/>
    <w:rsid w:val="009101EB"/>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01EB"/>
    <w:rPr>
      <w:rFonts w:eastAsiaTheme="minorEastAsia"/>
      <w:lang w:eastAsia="zh-CN"/>
    </w:rPr>
  </w:style>
  <w:style w:type="paragraph" w:styleId="Footer">
    <w:name w:val="footer"/>
    <w:basedOn w:val="Normal"/>
    <w:link w:val="FooterChar"/>
    <w:uiPriority w:val="99"/>
    <w:unhideWhenUsed w:val="1"/>
    <w:rsid w:val="009101EB"/>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01EB"/>
    <w:rPr>
      <w:rFonts w:eastAsiaTheme="minorEastAsia"/>
      <w:lang w:eastAsia="zh-CN"/>
    </w:rPr>
  </w:style>
  <w:style w:type="table" w:styleId="Table1">
    <w:basedOn w:val="TableNormal"/>
    <w:tblPr>
      <w:tblStyleRowBandSize w:val="1"/>
      <w:tblStyleColBandSize w:val="1"/>
      <w:tblCellMar/>
    </w:tblPr>
    <w:tcPr>
      <w:shd w:fill="2d2d2d"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cPr>
      <w:shd w:fill="2d2d2d"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www.mas.gov.sg/-/media/mas-media-library/news/media-releases/annex-a---about-global-fintech-hackcelerator-2025.pdf" TargetMode="External"/><Relationship Id="rId22" Type="http://schemas.openxmlformats.org/officeDocument/2006/relationships/hyperlink" Target="https://www.mas.gov.sg/-/media/mas-media-library/news/media-releases/annex-b---about-sff-fintech-excellence-awards-2025.pdf" TargetMode="External"/><Relationship Id="rId21" Type="http://schemas.openxmlformats.org/officeDocument/2006/relationships/hyperlink" Target="https://www.mas.gov.sg/-/media/mas-media-library/news/media-releases/annex-b---about-sff-fintech-excellence-awards-2025.pdf" TargetMode="External"/><Relationship Id="rId24" Type="http://schemas.openxmlformats.org/officeDocument/2006/relationships/hyperlink" Target="https://www.mas.gov.sg/news/media-releases/2025/mas-announces-finalists-for-the-2025-global-fintech-hackcelerator-and-fintech-excellence-awards" TargetMode="External"/><Relationship Id="rId23" Type="http://schemas.openxmlformats.org/officeDocument/2006/relationships/hyperlink" Target="https://www.mas.gov.sg/-/media/mas-media-library/news/media-releases/annex-b---about-sff-fintech-excellence-awards-2025.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sic.gov.au/about-asic/news-centre/find-a-media-release/2025-releases/25-251mr-asic-secures-interim-travel-restraint-orders-against-blockchain-global-director-ryan-xu/" TargetMode="External"/><Relationship Id="rId26" Type="http://schemas.openxmlformats.org/officeDocument/2006/relationships/hyperlink" Target="https://www.mas.gov.sg/news/media-releases/2025/mas-launches-bloom-initiative-to-extend-settlement-capabilities" TargetMode="External"/><Relationship Id="rId25" Type="http://schemas.openxmlformats.org/officeDocument/2006/relationships/hyperlink" Target="https://www.mas.gov.sg/news/media-releases/2025/mas-launches-bloom-initiative-to-extend-settlement-capabilities" TargetMode="External"/><Relationship Id="rId28" Type="http://schemas.openxmlformats.org/officeDocument/2006/relationships/hyperlink" Target="https://www.bank.lv/en/news-and-events/news-and-articles/news/17360-european-system-of-central-banks-renews-statements-of-commitment-to-fx-global-code" TargetMode="External"/><Relationship Id="rId27" Type="http://schemas.openxmlformats.org/officeDocument/2006/relationships/hyperlink" Target="https://www.bank.lv/en/news-and-events/news-and-articles/news/17360-european-system-of-central-banks-renews-statements-of-commitment-to-fx-global-cod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mailto:unsubscribe@charltonslaw.com?subject=unsubscribe%20-Hong%20Kong%20Law-" TargetMode="External"/><Relationship Id="rId7" Type="http://schemas.openxmlformats.org/officeDocument/2006/relationships/hyperlink" Target="https://charltonsquantum.com/quantum-updates-61-asic-interim-travel-ban-blockchain/" TargetMode="External"/><Relationship Id="rId8" Type="http://schemas.openxmlformats.org/officeDocument/2006/relationships/hyperlink" Target="https://www.asic.gov.au/about-asic/news-centre/find-a-media-release/2025-releases/25-251mr-asic-secures-interim-travel-restraint-orders-against-blockchain-global-director-ryan-xu/" TargetMode="External"/><Relationship Id="rId31" Type="http://schemas.openxmlformats.org/officeDocument/2006/relationships/header" Target="header2.xml"/><Relationship Id="rId30" Type="http://schemas.openxmlformats.org/officeDocument/2006/relationships/header" Target="header1.xml"/><Relationship Id="rId11" Type="http://schemas.openxmlformats.org/officeDocument/2006/relationships/hyperlink" Target="https://www.asic.gov.au/regulatory-resources/find-a-document/consultations/cp-381-updates-to-info-225-digital-assets-financial-products-and-services/#summary" TargetMode="External"/><Relationship Id="rId33" Type="http://schemas.openxmlformats.org/officeDocument/2006/relationships/footer" Target="footer1.xml"/><Relationship Id="rId10" Type="http://schemas.openxmlformats.org/officeDocument/2006/relationships/hyperlink" Target="https://www.asic.gov.au/regulatory-resources/find-a-document/consultations/cp-381-updates-to-info-225-digital-assets-financial-products-and-services/#summary" TargetMode="External"/><Relationship Id="rId32" Type="http://schemas.openxmlformats.org/officeDocument/2006/relationships/header" Target="header3.xml"/><Relationship Id="rId13" Type="http://schemas.openxmlformats.org/officeDocument/2006/relationships/hyperlink" Target="https://www.asic.gov.au/regulatory-resources/find-a-document/consultations/cp-381-updates-to-info-225-digital-assets-financial-products-and-services/#summary" TargetMode="External"/><Relationship Id="rId35" Type="http://schemas.openxmlformats.org/officeDocument/2006/relationships/footer" Target="footer3.xml"/><Relationship Id="rId12" Type="http://schemas.openxmlformats.org/officeDocument/2006/relationships/hyperlink" Target="https://www.asic.gov.au/regulatory-resources/find-a-document/consultations/cp-381-updates-to-info-225-digital-assets-financial-products-and-services/#summary" TargetMode="External"/><Relationship Id="rId34" Type="http://schemas.openxmlformats.org/officeDocument/2006/relationships/footer" Target="footer2.xml"/><Relationship Id="rId15" Type="http://schemas.openxmlformats.org/officeDocument/2006/relationships/hyperlink" Target="https://www.asic.gov.au/regulatory-resources/digital-transformation/digital-assets-financial-products-and-services/" TargetMode="External"/><Relationship Id="rId14" Type="http://schemas.openxmlformats.org/officeDocument/2006/relationships/hyperlink" Target="https://www.asic.gov.au/about-asic/news-centre/find-a-media-release/2025-releases/25-250mr-updated-asic-guidance-supports-digital-asset-innovation-and-boosts-investor-protection/" TargetMode="External"/><Relationship Id="rId17" Type="http://schemas.openxmlformats.org/officeDocument/2006/relationships/hyperlink" Target="https://www.asic.gov.au/regulatory-resources/digital-transformation/digital-assets-financial-products-and-services/" TargetMode="External"/><Relationship Id="rId16" Type="http://schemas.openxmlformats.org/officeDocument/2006/relationships/hyperlink" Target="https://www.asic.gov.au/regulatory-resources/digital-transformation/digital-assets-financial-products-and-services/" TargetMode="External"/><Relationship Id="rId19" Type="http://schemas.openxmlformats.org/officeDocument/2006/relationships/hyperlink" Target="https://www.mas.gov.sg/news/media-releases/2025/mas-consults-on-measures-to-enhance-investors-ability-to-seek-civil-compensation" TargetMode="External"/><Relationship Id="rId18" Type="http://schemas.openxmlformats.org/officeDocument/2006/relationships/hyperlink" Target="https://www.asic.gov.au/about-asic/news-centre/find-a-media-release/2025-releases/25-250mr-updated-asic-guidance-supports-digital-asset-innovation-and-boosts-investor-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c9hCFOfbvyxcKrusDbCFVAuOw==">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2024-12-09T10:39:00Z</dcterms:created>
  <dc:creator>Charlton</dc:creator>
</cp:coreProperties>
</file>